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bookmarkStart w:id="0" w:name="zsquares8082026.htm"/>
      <w:bookmarkStart w:id="1" w:name="kszsquares8082026"/>
      <w:bookmarkEnd w:id="0"/>
      <w:bookmarkEnd w:id="1"/>
      <w:r>
        <w:rPr>
          <w:rFonts w:ascii="Times New Roman;Times;Serif" w:hAnsi="Times New Roman;Times;Serif"/>
          <w:b w:val="false"/>
          <w:i w:val="false"/>
          <w:caps w:val="false"/>
          <w:smallCaps w:val="false"/>
          <w:sz w:val="20"/>
        </w:rPr>
        <w:t>As filed with the Securities and Exchange Commission on August 21, 2026</w:t>
      </w:r>
    </w:p>
    <w:p>
      <w:pPr>
        <w:pStyle w:val="TextBody"/>
        <w:pBd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   ] </w:t>
      </w:r>
    </w:p>
    <w:p>
      <w:pPr>
        <w:pStyle w:val="TextBody"/>
        <w:bidi w:val="0"/>
        <w:ind w:left="0" w:right="0" w:hanging="0"/>
        <w:jc w:val="left"/>
        <w:rPr>
          <w:bdr w:val="single" w:sz="16" w:space="1" w:color="000000"/>
        </w:rPr>
      </w:pPr>
      <w:r>
        <w:rPr>
          <w:bdr w:val="single" w:sz="16" w:space="1" w:color="000000"/>
        </w:rPr>
        <w:t> </w:t>
      </w:r>
    </w:p>
    <w:p>
      <w:pPr>
        <w:pStyle w:val="TextBody"/>
        <w:pBdr/>
        <w:bidi w:val="0"/>
        <w:spacing w:before="0" w:after="0"/>
        <w:ind w:left="0" w:right="0" w:hanging="0"/>
        <w:jc w:val="righ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pBd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pBd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Z Squared Inc.</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tbl>
      <w:tblPr>
        <w:tblW w:w="4870" w:type="dxa"/>
        <w:jc w:val="left"/>
        <w:tblInd w:w="0" w:type="dxa"/>
        <w:tblLayout w:type="fixed"/>
        <w:tblCellMar>
          <w:top w:w="0" w:type="dxa"/>
          <w:left w:w="0" w:type="dxa"/>
          <w:bottom w:w="28" w:type="dxa"/>
          <w:right w:w="0" w:type="dxa"/>
        </w:tblCellMar>
      </w:tblPr>
      <w:tblGrid>
        <w:gridCol w:w="3275"/>
        <w:gridCol w:w="60"/>
        <w:gridCol w:w="1535"/>
      </w:tblGrid>
      <w:tr>
        <w:trPr/>
        <w:tc>
          <w:tcPr>
            <w:tcW w:w="3275"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98-1465952</w:t>
            </w:r>
          </w:p>
        </w:tc>
      </w:tr>
      <w:tr>
        <w:trPr/>
        <w:tc>
          <w:tcPr>
            <w:tcW w:w="3275"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535"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3275"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595" w:type="dxa"/>
            <w:gridSpan w:val="2"/>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3275" w:type="dxa"/>
            <w:tcBorders>
              <w:bottom w:val="single" w:sz="8"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 South Andrews Ave., Suite 700</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Fort Lauderdale, Florida </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33301</w:t>
            </w:r>
          </w:p>
        </w:tc>
      </w:tr>
      <w:tr>
        <w:trPr/>
        <w:tc>
          <w:tcPr>
            <w:tcW w:w="327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Inc. 2025 Incentive Compensation Plan</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Halabu</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 South Andrews Ave., Suite 700</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Fort Lauderdale, Florida 33301</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(305) 697-0792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 a copy to</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Morris C. Zarif, Esq.</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Zarif Law Group P.C.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808 Springwood Avenue, Suite 110</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Asbury Park, NJ 07712</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(732) 755-0146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pBdr/>
        <w:bidi w:val="0"/>
        <w:spacing w:before="0" w:after="0"/>
        <w:ind w:left="0" w:right="0" w:hanging="0"/>
        <w:jc w:val="center"/>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1835"/>
        <w:gridCol w:w="470"/>
        <w:gridCol w:w="2225"/>
        <w:gridCol w:w="365"/>
      </w:tblGrid>
      <w:tr>
        <w:trPr/>
        <w:tc>
          <w:tcPr>
            <w:tcW w:w="183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470" w:type="dxa"/>
            <w:tcBorders/>
            <w:vAlign w:val="center"/>
          </w:tcPr>
          <w:p>
            <w:pPr>
              <w:pStyle w:val="TableContents"/>
              <w:bidi w:val="0"/>
              <w:spacing w:before="0" w:after="283"/>
              <w:ind w:left="0" w:right="0" w:hanging="0"/>
              <w:jc w:val="left"/>
              <w:rPr>
                <w:caps w:val="false"/>
                <w:smallCaps w:val="false"/>
              </w:rPr>
            </w:pPr>
            <w:r>
              <w:rPr>
                <w:caps w:val="false"/>
                <w:smallCaps w:val="false"/>
              </w:rPr>
              <w:t>  ☐  </w:t>
            </w:r>
          </w:p>
        </w:tc>
        <w:tc>
          <w:tcPr>
            <w:tcW w:w="22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3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4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2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470" w:type="dxa"/>
            <w:tcBorders/>
            <w:vAlign w:val="center"/>
          </w:tcPr>
          <w:p>
            <w:pPr>
              <w:pStyle w:val="TableContents"/>
              <w:bidi w:val="0"/>
              <w:spacing w:before="0" w:after="283"/>
              <w:ind w:left="0" w:right="0" w:hanging="0"/>
              <w:jc w:val="left"/>
              <w:rPr>
                <w:caps w:val="false"/>
                <w:smallCaps w:val="false"/>
              </w:rPr>
            </w:pPr>
            <w:r>
              <w:rPr>
                <w:caps w:val="false"/>
                <w:smallCaps w:val="false"/>
              </w:rPr>
              <w:t>  ☒  </w:t>
            </w:r>
          </w:p>
        </w:tc>
        <w:tc>
          <w:tcPr>
            <w:tcW w:w="22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3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4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2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4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is being filed by Z Squared Inc. (the “Registrant”) for the purpose of registering 7,900,000 shares of the Registrant’s common stock, par value $0.0001 per share (the “Common Stock”), issuable pursuant to the Z Squared Inc. 2025 Incentive Compensation Plan (the “2025 Plan”), which represents the approximate maximum number of shares of Common Stock currently available for issuance under the 2025 Plan.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Plan was approved by the Registrant’s stockholders in connection with the business combination completed on April 24, 2026. The 2025 Plan is the successor to the Coeptis Therapeutics Holdings, Inc. 2022 Equity Incentive Plan (the “Prior Plan”). No further awards will be granted under the Prior Plan.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2025 Plan, the aggregate number of shares of Common Stock that may be issued or transferred pursuant to awards under the 2025 Plan shall not exceed fifteen percent (15%) of the number of shares of Common Stock issued and outstanding from time to time (subject to the separate limit of 300,000 shares that may be delivered upon exercise of incentive stock options).</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Plan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the information specified in Part I will be delivered in accordance with Rule 428(b)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Such documents are not required to be, and are not,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either as part of this registration statement or as prospectuses or prospectus supplements pursuant to Rule 424 under the Securities Act. These documents, and the documents incorporated by reference in this registration statement pursuant to Item 3 of Part II of the Form S-8, taken together, constitute a prospectus that meets the requirements of Section 10(a) of the Securities Act.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Registrant Information and Employee Plan Annual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written statement required by Item 2 of Part I is included in documents that will be delivered to participants in the plan covered by this registration statement pursuant to Rule 428(b) of the Securities Act.</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Squared Inc. (formerly Coeptis Therapeutics Holdings,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Registrant</w:t>
      </w:r>
      <w:r>
        <w:rPr>
          <w:rFonts w:ascii="Times New Roman;Times;Serif" w:hAnsi="Times New Roman;Times;Serif"/>
          <w:b w:val="false"/>
          <w:i w:val="false"/>
          <w:caps w:val="false"/>
          <w:smallCaps w:val="false"/>
          <w:sz w:val="20"/>
        </w:rPr>
        <w:t>”) hereby incorporates by reference into this registration statement the following documents previously filed with the Commission:</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1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1"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(including the audited financial statements included therein), filed with the Commission on March 19, 2026 (the “2025 Form 10-K”);</w:t>
            </w:r>
          </w:p>
        </w:tc>
      </w:tr>
    </w:tbl>
    <w:p>
      <w:pPr>
        <w:pStyle w:val="TextBody"/>
        <w:pBdr/>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1"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Quarterly Report on </w:t>
            </w:r>
            <w:hyperlink r:id="rId3">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quarterly period ended March 31, 2026, filed with the Commission on May 15, 2026;</w:t>
            </w:r>
          </w:p>
        </w:tc>
      </w:tr>
    </w:tbl>
    <w:p>
      <w:pPr>
        <w:pStyle w:val="TextBody"/>
        <w:pBdr/>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1"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Quarterly Report on </w:t>
            </w:r>
            <w:hyperlink r:id="rId4">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quarterly period ended June 30, 2026, filed with the Commission on August 13, 2026;</w:t>
            </w:r>
          </w:p>
        </w:tc>
      </w:tr>
    </w:tbl>
    <w:p>
      <w:pPr>
        <w:pStyle w:val="TextBody"/>
        <w:pBdr/>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0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Items 2.01, 5.01, 5.02, 8.01 and 9.01 (other than the Exhibits that were furnished and not filed therewith) of the Registrant’s Current Report on </w:t>
            </w:r>
            <w:hyperlink r:id="rId5">
              <w:r>
                <w:rPr>
                  <w:rStyle w:val="InternetLink"/>
                  <w:rFonts w:ascii="Times New Roman;Times;Serif" w:hAnsi="Times New Roman;Times;Serif"/>
                  <w:b w:val="false"/>
                  <w:i w:val="false"/>
                  <w:caps w:val="false"/>
                  <w:smallCaps w:val="false"/>
                  <w:sz w:val="20"/>
                </w:rPr>
                <w:t>Form 8-K</w:t>
              </w:r>
            </w:hyperlink>
            <w:r>
              <w:rPr>
                <w:rFonts w:ascii="Times New Roman;Times;Serif" w:hAnsi="Times New Roman;Times;Serif"/>
                <w:b w:val="false"/>
                <w:i w:val="false"/>
                <w:caps w:val="false"/>
                <w:smallCaps w:val="false"/>
                <w:sz w:val="20"/>
              </w:rPr>
              <w:t xml:space="preserve"> filed with the Commission on April 30, 2026 (the “Merger 8-K”), and Amendment No. 1 thereto on </w:t>
            </w:r>
            <w:hyperlink r:id="rId6">
              <w:r>
                <w:rPr>
                  <w:rStyle w:val="InternetLink"/>
                  <w:rFonts w:ascii="Times New Roman;Times;Serif" w:hAnsi="Times New Roman;Times;Serif"/>
                  <w:b w:val="false"/>
                  <w:i w:val="false"/>
                  <w:caps w:val="false"/>
                  <w:smallCaps w:val="false"/>
                  <w:sz w:val="20"/>
                </w:rPr>
                <w:t>Form 8-K/A</w:t>
              </w:r>
            </w:hyperlink>
            <w:r>
              <w:rPr>
                <w:rFonts w:ascii="Times New Roman;Times;Serif" w:hAnsi="Times New Roman;Times;Serif"/>
                <w:b w:val="false"/>
                <w:i w:val="false"/>
                <w:caps w:val="false"/>
                <w:smallCaps w:val="false"/>
                <w:sz w:val="20"/>
              </w:rPr>
              <w:t>, including Item 9.01 thereof (including the audited financial statements filed thereunder), filed with the Commission on June 1, 2026 (the “Amended Merger 8-K”);</w:t>
            </w:r>
          </w:p>
        </w:tc>
      </w:tr>
    </w:tbl>
    <w:p>
      <w:pPr>
        <w:pStyle w:val="TextBody"/>
        <w:pBdr/>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04"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reports filed by the Registrant pursuant to Section 13(a) or 15(d) of the Securities Exchange Act of 1934, as amended, since December 31, 2025, other than those described above (in each case excluding any information furnished, and not filed, pursuant to Item 2.02 or Item 7.01 of Form 8-K and any related exhibits furnished under Item 9.01); and</w:t>
            </w:r>
          </w:p>
        </w:tc>
      </w:tr>
    </w:tbl>
    <w:p>
      <w:pPr>
        <w:pStyle w:val="TextBody"/>
        <w:pBdr/>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59"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Registrant’s Common Stock set forth under the heading “Description of Capital Stock” in the Registrant’s Current Report on </w:t>
            </w:r>
            <w:hyperlink r:id="rId7">
              <w:r>
                <w:rPr>
                  <w:rStyle w:val="InternetLink"/>
                  <w:rFonts w:ascii="Times New Roman;Times;Serif" w:hAnsi="Times New Roman;Times;Serif"/>
                  <w:b w:val="false"/>
                  <w:i w:val="false"/>
                  <w:caps w:val="false"/>
                  <w:smallCaps w:val="false"/>
                  <w:sz w:val="20"/>
                </w:rPr>
                <w:t>Form 8-K</w:t>
              </w:r>
            </w:hyperlink>
            <w:r>
              <w:rPr>
                <w:rFonts w:ascii="Times New Roman;Times;Serif" w:hAnsi="Times New Roman;Times;Serif"/>
                <w:b w:val="false"/>
                <w:i w:val="false"/>
                <w:caps w:val="false"/>
                <w:smallCaps w:val="false"/>
                <w:sz w:val="20"/>
              </w:rPr>
              <w:t xml:space="preserve"> filed with the Commission on April 30, 2026, including any amendment or report filed for the purpose of updating such description.</w:t>
            </w:r>
          </w:p>
        </w:tc>
      </w:tr>
    </w:tbl>
    <w:p>
      <w:pPr>
        <w:pStyle w:val="TextBody"/>
        <w:pBdr/>
        <w:bidi w:val="0"/>
        <w:spacing w:before="0" w:after="0"/>
        <w:ind w:left="720" w:right="0" w:hanging="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subsequently filed by the Registrant pursuant to Sections 13(a), 13(c), 14 and 15(d)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(other than any such documents or portions thereof that are deemed to have been furnished and not filed in accordance with the rules of the Commission),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registration statement or in a document incorporated or deemed to be incorporated by reference herein shall be deemed to be modified or superseded for purposes of this registration statement to the extent that a statement contained or incorporated by reference herein or in any subsequently filed document that is deemed to be incorporated by reference herein modifies or supersedes such statement. Any such statement so modified or superseded shall not be deemed, except as so modified or superseded, to constitute a part of this registration statement.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II-1</w:t>
      </w:r>
    </w:p>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provides, generally, that the Registrant’s certificate of incorporation may contain a provision eliminating or limiting the personal liability of a director or officer to the corporation or its stockholders for monetary damages for breach of fiduciary duty as a director or officer, provided that such provision may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Amended and Restated Certificate of Incorporation, as amended, limits directors’ and officers’ liability to the fullest extent permitted under the DGCL. If the DGCL is amended to authorize corporate action further eliminating or limiting the personal liability of directors or officers, then their liability will be eliminated or limited to the fullest extent permitted by the DGCL, as so amended.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and the Registrant’s Second Amended and Restated Bylaws provide that the Registrant will, in certain situations, indemnify its directors and officers and may indemnify other employees and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each of its directors and executive officers. These agreements, among other things, require the Registrant to indemnify its directors and executive officers for certain expenses, including attorneys’ fees, judgments, fines, and settlement amounts incurred by a director or executive officer in any action or proceeding arising out of their services as one of its directors or executive officers, or any other company or enterprise to which the person provides services at the Registrant’s request.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a directors’ and officers’ liability insurance policy that covers certain liabilities of its directors and officers arising out of claims based on acts or omissions in their capacities as directors or officers.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II-2</w:t>
      </w:r>
    </w:p>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pBdr/>
        <w:bidi w:val="0"/>
        <w:spacing w:before="0" w:after="0"/>
        <w:ind w:left="0" w:right="0" w:hanging="0"/>
        <w:jc w:val="left"/>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245"/>
        <w:gridCol w:w="725"/>
      </w:tblGrid>
      <w:tr>
        <w:trPr/>
        <w:tc>
          <w:tcPr>
            <w:tcW w:w="24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3"/>
        <w:gridCol w:w="60"/>
        <w:gridCol w:w="9702"/>
      </w:tblGrid>
      <w:tr>
        <w:trPr/>
        <w:tc>
          <w:tcPr>
            <w:tcW w:w="44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02" w:type="dxa"/>
            <w:tcBorders/>
            <w:vAlign w:val="center"/>
          </w:tcPr>
          <w:p>
            <w:pPr>
              <w:pStyle w:val="TableContents"/>
              <w:bidi w:val="0"/>
              <w:spacing w:before="0" w:after="283"/>
              <w:ind w:left="0" w:right="0" w:hanging="0"/>
              <w:jc w:val="both"/>
              <w:rPr/>
            </w:pPr>
            <w:hyperlink r:id="rId8">
              <w:r>
                <w:rPr>
                  <w:rStyle w:val="InternetLink"/>
                  <w:rFonts w:ascii="Times New Roman;Times;Serif" w:hAnsi="Times New Roman;Times;Serif"/>
                  <w:b w:val="false"/>
                  <w:i w:val="false"/>
                  <w:caps w:val="false"/>
                  <w:smallCaps w:val="false"/>
                  <w:sz w:val="20"/>
                </w:rPr>
                <w:t>Amended and Restated Certificate of Incorporation of Z Squared Inc. (formerly Coeptis Therapeutics Holdings, Inc.) (incorporated by reference to Exhibit 3.1 to the Current Report on Form 8-K filed with the Commission on November 3, 2022).</w:t>
              </w:r>
            </w:hyperlink>
          </w:p>
        </w:tc>
      </w:tr>
      <w:tr>
        <w:trPr/>
        <w:tc>
          <w:tcPr>
            <w:tcW w:w="44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02" w:type="dxa"/>
            <w:tcBorders/>
            <w:vAlign w:val="center"/>
          </w:tcPr>
          <w:p>
            <w:pPr>
              <w:pStyle w:val="TableContents"/>
              <w:bidi w:val="0"/>
              <w:spacing w:before="0" w:after="283"/>
              <w:ind w:left="0" w:right="0" w:hanging="0"/>
              <w:jc w:val="both"/>
              <w:rPr/>
            </w:pPr>
            <w:hyperlink r:id="rId9">
              <w:r>
                <w:rPr>
                  <w:rStyle w:val="InternetLink"/>
                  <w:rFonts w:ascii="Times New Roman;Times;Serif" w:hAnsi="Times New Roman;Times;Serif"/>
                  <w:b w:val="false"/>
                  <w:i w:val="false"/>
                  <w:caps w:val="false"/>
                  <w:smallCaps w:val="false"/>
                  <w:sz w:val="20"/>
                </w:rPr>
                <w:t>Certificate of Amendment to Amended and Restated Certificate of Incorporation, dated December 26, 2024 (incorporated by reference to Exhibit 99.1 to the Current Report on Form 8-K filed with the Commission on December 27, 2024).</w:t>
              </w:r>
            </w:hyperlink>
          </w:p>
        </w:tc>
      </w:tr>
      <w:tr>
        <w:trPr/>
        <w:tc>
          <w:tcPr>
            <w:tcW w:w="44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02" w:type="dxa"/>
            <w:tcBorders/>
            <w:vAlign w:val="center"/>
          </w:tcPr>
          <w:p>
            <w:pPr>
              <w:pStyle w:val="TableContents"/>
              <w:bidi w:val="0"/>
              <w:spacing w:before="0" w:after="283"/>
              <w:ind w:left="0" w:right="0" w:hanging="0"/>
              <w:jc w:val="both"/>
              <w:rPr/>
            </w:pPr>
            <w:hyperlink r:id="rId10">
              <w:r>
                <w:rPr>
                  <w:rStyle w:val="InternetLink"/>
                  <w:rFonts w:ascii="Times New Roman;Times;Serif" w:hAnsi="Times New Roman;Times;Serif"/>
                  <w:b w:val="false"/>
                  <w:i w:val="false"/>
                  <w:caps w:val="false"/>
                  <w:smallCaps w:val="false"/>
                  <w:sz w:val="20"/>
                </w:rPr>
                <w:t>Amendment to Amended and Restated Certificate of Incorporation of Z Squared Inc. (incorporated by reference to Exhibit 3.2 to the Current Report on Form 8-K filed with the Commission on April 30, 2026).</w:t>
              </w:r>
            </w:hyperlink>
          </w:p>
        </w:tc>
      </w:tr>
      <w:tr>
        <w:trPr/>
        <w:tc>
          <w:tcPr>
            <w:tcW w:w="44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02" w:type="dxa"/>
            <w:tcBorders/>
            <w:vAlign w:val="center"/>
          </w:tcPr>
          <w:p>
            <w:pPr>
              <w:pStyle w:val="TableContents"/>
              <w:bidi w:val="0"/>
              <w:spacing w:before="0" w:after="283"/>
              <w:ind w:left="0" w:right="0" w:hanging="0"/>
              <w:jc w:val="both"/>
              <w:rPr/>
            </w:pPr>
            <w:hyperlink r:id="rId11">
              <w:r>
                <w:rPr>
                  <w:rStyle w:val="InternetLink"/>
                  <w:rFonts w:ascii="Times New Roman;Times;Serif" w:hAnsi="Times New Roman;Times;Serif"/>
                  <w:b w:val="false"/>
                  <w:i w:val="false"/>
                  <w:caps w:val="false"/>
                  <w:smallCaps w:val="false"/>
                  <w:sz w:val="20"/>
                </w:rPr>
                <w:t>Second Amended and Restated Bylaws of Z Squared Inc. (incorporated by reference to Exhibit 3.3 to the Quarterly Report on Form 10-Q filed with the Commission on May 15, 2026).</w:t>
              </w:r>
            </w:hyperlink>
          </w:p>
        </w:tc>
      </w:tr>
      <w:tr>
        <w:trPr/>
        <w:tc>
          <w:tcPr>
            <w:tcW w:w="44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02" w:type="dxa"/>
            <w:tcBorders/>
            <w:vAlign w:val="center"/>
          </w:tcPr>
          <w:p>
            <w:pPr>
              <w:pStyle w:val="TableContents"/>
              <w:bidi w:val="0"/>
              <w:spacing w:before="0" w:after="283"/>
              <w:ind w:left="0" w:right="0" w:hanging="0"/>
              <w:jc w:val="both"/>
              <w:rPr/>
            </w:pPr>
            <w:hyperlink w:anchor="zsquareex5-1.htm">
              <w:r>
                <w:rPr>
                  <w:rStyle w:val="InternetLink"/>
                  <w:rFonts w:ascii="Times New Roman;Times;Serif" w:hAnsi="Times New Roman;Times;Serif"/>
                  <w:b w:val="false"/>
                  <w:i w:val="false"/>
                  <w:caps w:val="false"/>
                  <w:smallCaps w:val="false"/>
                  <w:sz w:val="20"/>
                </w:rPr>
                <w:t>Opinion of Zarif Law Group P.C.</w:t>
              </w:r>
            </w:hyperlink>
          </w:p>
        </w:tc>
      </w:tr>
      <w:tr>
        <w:trPr/>
        <w:tc>
          <w:tcPr>
            <w:tcW w:w="44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02" w:type="dxa"/>
            <w:tcBorders/>
            <w:vAlign w:val="center"/>
          </w:tcPr>
          <w:p>
            <w:pPr>
              <w:pStyle w:val="TableContents"/>
              <w:bidi w:val="0"/>
              <w:spacing w:before="0" w:after="283"/>
              <w:ind w:left="0" w:right="0" w:hanging="0"/>
              <w:jc w:val="both"/>
              <w:rPr/>
            </w:pPr>
            <w:hyperlink w:anchor="zsquareex23-1.htm">
              <w:r>
                <w:rPr>
                  <w:rStyle w:val="InternetLink"/>
                  <w:rFonts w:ascii="Times New Roman;Times;Serif" w:hAnsi="Times New Roman;Times;Serif"/>
                  <w:b w:val="false"/>
                  <w:i w:val="false"/>
                  <w:caps w:val="false"/>
                  <w:smallCaps w:val="false"/>
                  <w:sz w:val="20"/>
                </w:rPr>
                <w:t>Consent of Stephano Slack LLC, independent registered public accounting firm, with respect to the audited financial statements of Z Squared OpCo Inc. filed as Exhibit 99.1 in the Amended Merger 8-K.</w:t>
              </w:r>
            </w:hyperlink>
          </w:p>
        </w:tc>
      </w:tr>
      <w:tr>
        <w:trPr/>
        <w:tc>
          <w:tcPr>
            <w:tcW w:w="44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02" w:type="dxa"/>
            <w:tcBorders/>
            <w:vAlign w:val="center"/>
          </w:tcPr>
          <w:p>
            <w:pPr>
              <w:pStyle w:val="TableContents"/>
              <w:bidi w:val="0"/>
              <w:spacing w:before="0" w:after="283"/>
              <w:ind w:left="0" w:right="0" w:hanging="0"/>
              <w:jc w:val="both"/>
              <w:rPr/>
            </w:pPr>
            <w:hyperlink w:anchor="zsquareex23-2.htm">
              <w:r>
                <w:rPr>
                  <w:rStyle w:val="InternetLink"/>
                  <w:rFonts w:ascii="Times New Roman;Times;Serif" w:hAnsi="Times New Roman;Times;Serif"/>
                  <w:b w:val="false"/>
                  <w:i w:val="false"/>
                  <w:caps w:val="false"/>
                  <w:smallCaps w:val="false"/>
                  <w:sz w:val="20"/>
                </w:rPr>
                <w:t>Consent of Astra Audit &amp; Advisory, LLC, independent registered public accounting firm, with respect to the audited financial statements of Coeptis Therapeutics Holdings, Inc. included in the 2025 Form 10-K</w:t>
              </w:r>
            </w:hyperlink>
          </w:p>
        </w:tc>
      </w:tr>
      <w:tr>
        <w:trPr/>
        <w:tc>
          <w:tcPr>
            <w:tcW w:w="44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02" w:type="dxa"/>
            <w:tcBorders/>
            <w:vAlign w:val="center"/>
          </w:tcPr>
          <w:p>
            <w:pPr>
              <w:pStyle w:val="TableContents"/>
              <w:bidi w:val="0"/>
              <w:spacing w:before="0" w:after="283"/>
              <w:ind w:left="0" w:right="0" w:hanging="0"/>
              <w:jc w:val="both"/>
              <w:rPr/>
            </w:pPr>
            <w:hyperlink w:anchor="zsquareex5-1.htm">
              <w:r>
                <w:rPr>
                  <w:rStyle w:val="InternetLink"/>
                  <w:rFonts w:ascii="Times New Roman;Times;Serif" w:hAnsi="Times New Roman;Times;Serif"/>
                  <w:b w:val="false"/>
                  <w:i w:val="false"/>
                  <w:caps w:val="false"/>
                  <w:smallCaps w:val="false"/>
                  <w:sz w:val="20"/>
                </w:rPr>
                <w:t>Consent of Zarif Law Group P.C. (included in Exhibit 5.1).</w:t>
              </w:r>
            </w:hyperlink>
          </w:p>
        </w:tc>
      </w:tr>
      <w:tr>
        <w:trPr/>
        <w:tc>
          <w:tcPr>
            <w:tcW w:w="44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02" w:type="dxa"/>
            <w:tcBorders/>
            <w:vAlign w:val="center"/>
          </w:tcPr>
          <w:p>
            <w:pPr>
              <w:pStyle w:val="TableContents"/>
              <w:bidi w:val="0"/>
              <w:spacing w:before="0" w:after="283"/>
              <w:ind w:left="0" w:right="0" w:hanging="0"/>
              <w:jc w:val="both"/>
              <w:rPr/>
            </w:pPr>
            <w:hyperlink w:anchor="poa">
              <w:r>
                <w:rPr>
                  <w:rStyle w:val="InternetLink"/>
                  <w:rFonts w:ascii="Times New Roman;Times;Serif" w:hAnsi="Times New Roman;Times;Serif"/>
                  <w:b w:val="false"/>
                  <w:i w:val="false"/>
                  <w:caps w:val="false"/>
                  <w:smallCaps w:val="false"/>
                  <w:sz w:val="20"/>
                </w:rPr>
                <w:t>Power of Attorney (included on the signature page of this registration statement).</w:t>
              </w:r>
            </w:hyperlink>
          </w:p>
        </w:tc>
      </w:tr>
      <w:tr>
        <w:trPr/>
        <w:tc>
          <w:tcPr>
            <w:tcW w:w="44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02" w:type="dxa"/>
            <w:tcBorders/>
            <w:vAlign w:val="center"/>
          </w:tcPr>
          <w:p>
            <w:pPr>
              <w:pStyle w:val="TableContents"/>
              <w:bidi w:val="0"/>
              <w:spacing w:before="0" w:after="283"/>
              <w:ind w:left="0" w:right="0" w:hanging="0"/>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"http://www.sec.gov/ix?doc=/Archives/edgar/data/1759186/000168316825009287/coeptis_s4a5.htm" \l "annex_c"</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Z Squared Inc. 2025 Incentive Compensation Plan (incorporated by reference to Annex C to the Registration Statement on Form S-4/A (File No. 333-288329) filed with the Commission on December 22, 2025).</w:t>
            </w:r>
            <w:r>
              <w:rPr>
                <w:rStyle w:val="InternetLink"/>
                <w:smallCaps w:val="false"/>
                <w:caps w:val="false"/>
                <w:sz w:val="20"/>
                <w:i w:val="false"/>
                <w:b w:val="false"/>
                <w:rFonts w:ascii="Times New Roman;Times;Serif" w:hAnsi="Times New Roman;Times;Serif"/>
              </w:rPr>
              <w:fldChar w:fldCharType="end"/>
            </w:r>
          </w:p>
        </w:tc>
      </w:tr>
      <w:tr>
        <w:trPr/>
        <w:tc>
          <w:tcPr>
            <w:tcW w:w="44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02" w:type="dxa"/>
            <w:tcBorders/>
            <w:vAlign w:val="center"/>
          </w:tcPr>
          <w:p>
            <w:pPr>
              <w:pStyle w:val="TableContents"/>
              <w:bidi w:val="0"/>
              <w:spacing w:before="0" w:after="283"/>
              <w:jc w:val="both"/>
              <w:rPr/>
            </w:pPr>
            <w:hyperlink w:anchor="zsquareex-fee.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283"/>
        <w:jc w:val="left"/>
        <w:rPr/>
      </w:pPr>
      <w:r>
        <w:rPr/>
        <w:t> </w:t>
      </w:r>
    </w:p>
    <w:p>
      <w:pPr>
        <w:pStyle w:val="TextBody"/>
        <w:bidi w:val="0"/>
        <w:ind w:left="0" w:right="0" w:hanging="0"/>
        <w:jc w:val="left"/>
        <w:rPr>
          <w:bdr w:val="single" w:sz="8" w:space="1" w:color="000000"/>
        </w:rPr>
      </w:pPr>
      <w:r>
        <w:rPr>
          <w:bdr w:val="single" w:sz="8" w:space="1" w:color="000000"/>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pBdr/>
        <w:bidi w:val="0"/>
        <w:spacing w:before="0" w:after="0"/>
        <w:ind w:left="360" w:right="0" w:hanging="36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245"/>
        <w:gridCol w:w="387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pBdr/>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44"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pBdr/>
        <w:bidi w:val="0"/>
        <w:spacing w:before="0" w:after="0"/>
        <w:ind w:left="720" w:right="0" w:hanging="0"/>
        <w:jc w:val="both"/>
        <w:rPr>
          <w:caps w:val="false"/>
          <w:smallCaps w:val="false"/>
        </w:rPr>
      </w:pPr>
      <w:r>
        <w:rPr>
          <w:caps w:val="false"/>
          <w:smallCaps w:val="false"/>
        </w:rPr>
        <w:t> </w:t>
      </w:r>
    </w:p>
    <w:p>
      <w:pPr>
        <w:pStyle w:val="TextBody"/>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p>
      <w:pPr>
        <w:pStyle w:val="TextBody"/>
        <w:pBdr/>
        <w:bidi w:val="0"/>
        <w:spacing w:before="0" w:after="0"/>
        <w:ind w:left="720" w:right="0" w:hanging="0"/>
        <w:jc w:val="both"/>
        <w:rPr>
          <w:caps w:val="false"/>
          <w:smallCaps w:val="false"/>
        </w:rPr>
      </w:pPr>
      <w:r>
        <w:rPr>
          <w:caps w:val="false"/>
          <w:smallCaps w:val="false"/>
        </w:rPr>
        <w:t> </w:t>
      </w:r>
    </w:p>
    <w:p>
      <w:pPr>
        <w:pStyle w:val="TextBody"/>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include any material information with respect to the plan of distribution not previously disclosed in the registration statement or any material change to such information in the registration statement;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pBdr/>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07"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pBdr/>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pBdr/>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bdr w:val="single" w:sz="12" w:space="1" w:color="000000"/>
        </w:rPr>
      </w:pPr>
      <w:r>
        <w:rPr>
          <w:bdr w:val="single" w:sz="12" w:space="1" w:color="000000"/>
        </w:rPr>
        <w:t>II-3</w:t>
      </w:r>
    </w:p>
    <w:p>
      <w:pPr>
        <w:pStyle w:val="TextBody"/>
        <w:bidi w:val="0"/>
        <w:spacing w:before="0" w:after="0"/>
        <w:ind w:left="0" w:right="0" w:hanging="0"/>
        <w:jc w:val="left"/>
        <w:rPr/>
      </w:pPr>
      <w:r>
        <w:rPr/>
        <w:t> </w:t>
      </w:r>
    </w:p>
    <w:p>
      <w:pPr>
        <w:pStyle w:val="TextBody"/>
        <w:pBdr/>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 for purposes of determining any liability under the Securities Act, each filing of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pBdr/>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Registrant pursuant to the foregoing provisions, or otherwise,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Registrant in the successful defense of any action, suit or proceeding) is asserted by such director, officer or controlling person in connection with the securities being registered,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pBdr/>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bdr w:val="single" w:sz="12" w:space="1" w:color="000000"/>
        </w:rPr>
      </w:pPr>
      <w:r>
        <w:rPr>
          <w:bdr w:val="single" w:sz="12" w:space="1" w:color="000000"/>
        </w:rPr>
        <w:t>II-4</w:t>
      </w:r>
    </w:p>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Registrant certifies that it has reasonable grounds to believe that it meets all of the requirements for filing on Form S-8 and has duly caused this registration statement to be signed on its behalf by the undersigned, thereunto duly authorized, in the City of Fort Lauderdale, Florida, on August 21, 2026.</w:t>
      </w:r>
    </w:p>
    <w:p>
      <w:pPr>
        <w:pStyle w:val="TextBody"/>
        <w:pBdr/>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ind w:left="0" w:right="0" w:hanging="0"/>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INC.</w:t>
            </w:r>
          </w:p>
        </w:tc>
      </w:tr>
      <w:tr>
        <w:trPr/>
        <w:tc>
          <w:tcPr>
            <w:tcW w:w="75"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Halabu</w:t>
            </w:r>
          </w:p>
        </w:tc>
      </w:tr>
      <w:tr>
        <w:trPr/>
        <w:tc>
          <w:tcPr>
            <w:tcW w:w="75"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Halabu</w:t>
            </w:r>
          </w:p>
        </w:tc>
      </w:tr>
      <w:tr>
        <w:trPr/>
        <w:tc>
          <w:tcPr>
            <w:tcW w:w="75"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2" w:name="poa"/>
      <w:bookmarkEnd w:id="2"/>
      <w:r>
        <w:rPr>
          <w:rFonts w:ascii="Times New Roman;Times;Serif" w:hAnsi="Times New Roman;Times;Serif"/>
          <w:b/>
          <w:i w:val="false"/>
          <w:caps w:val="false"/>
          <w:smallCaps w:val="false"/>
          <w:sz w:val="20"/>
        </w:rPr>
        <w:t>POWER OF ATTORNEY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David Halabu and Brian Cogley as his or her true and lawful attorney-in-fact and agent, with full power of substitution and resubstitution, for him and in his name, place and stead, in any and all capacities, to sign one or more registration statements on Form S-8 and any and all amendments to such registration statements,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agents, or any of them, or their or his or her substitutes or substitute, may lawfully do or cause to be done by virtue hereof.</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below by the following person in the capacities and on the dates indicated.</w:t>
      </w:r>
    </w:p>
    <w:p>
      <w:pPr>
        <w:pStyle w:val="TextBody"/>
        <w:pBdr/>
        <w:bidi w:val="0"/>
        <w:spacing w:before="0" w:after="0"/>
        <w:ind w:left="0" w:right="0" w:hanging="0"/>
        <w:jc w:val="left"/>
        <w:rPr>
          <w:caps w:val="false"/>
          <w:smallCaps w:val="false"/>
        </w:rPr>
      </w:pPr>
      <w:r>
        <w:rPr>
          <w:caps w:val="false"/>
          <w:smallCaps w:val="false"/>
        </w:rPr>
        <w:t> </w:t>
      </w:r>
    </w:p>
    <w:tbl>
      <w:tblPr>
        <w:tblW w:w="6750" w:type="dxa"/>
        <w:jc w:val="left"/>
        <w:tblInd w:w="0" w:type="dxa"/>
        <w:tblLayout w:type="fixed"/>
        <w:tblCellMar>
          <w:top w:w="0" w:type="dxa"/>
          <w:left w:w="0" w:type="dxa"/>
          <w:bottom w:w="28" w:type="dxa"/>
          <w:right w:w="0" w:type="dxa"/>
        </w:tblCellMar>
      </w:tblPr>
      <w:tblGrid>
        <w:gridCol w:w="1610"/>
        <w:gridCol w:w="60"/>
        <w:gridCol w:w="3635"/>
        <w:gridCol w:w="60"/>
        <w:gridCol w:w="1385"/>
      </w:tblGrid>
      <w:tr>
        <w:trPr/>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6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Date</w:t>
            </w:r>
          </w:p>
        </w:tc>
      </w:tr>
      <w:tr>
        <w:trPr/>
        <w:tc>
          <w:tcPr>
            <w:tcW w:w="161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r>
      <w:tr>
        <w:trPr/>
        <w:tc>
          <w:tcPr>
            <w:tcW w:w="161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Halabu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tc>
      </w:tr>
      <w:tr>
        <w:trPr/>
        <w:tc>
          <w:tcPr>
            <w:tcW w:w="161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r>
      <w:tr>
        <w:trPr/>
        <w:tc>
          <w:tcPr>
            <w:tcW w:w="161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Brian Cogley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tc>
      </w:tr>
      <w:tr>
        <w:trPr/>
        <w:tc>
          <w:tcPr>
            <w:tcW w:w="161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r>
      <w:tr>
        <w:trPr/>
        <w:tc>
          <w:tcPr>
            <w:tcW w:w="161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r>
      <w:tr>
        <w:trPr/>
        <w:tc>
          <w:tcPr>
            <w:tcW w:w="161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Sohn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tc>
      </w:tr>
      <w:tr>
        <w:trPr/>
        <w:tc>
          <w:tcPr>
            <w:tcW w:w="161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r>
      <w:tr>
        <w:trPr/>
        <w:tc>
          <w:tcPr>
            <w:tcW w:w="161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Bryan Fuerst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tc>
      </w:tr>
      <w:tr>
        <w:trPr/>
        <w:tc>
          <w:tcPr>
            <w:tcW w:w="161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r>
      <w:tr>
        <w:trPr/>
        <w:tc>
          <w:tcPr>
            <w:tcW w:w="161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Kenneth Cooper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II-5</w:t>
      </w:r>
    </w:p>
    <w:p>
      <w:pPr>
        <w:pStyle w:val="TextBody"/>
        <w:bidi w:val="0"/>
        <w:ind w:left="0" w:right="0" w:hanging="0"/>
        <w:jc w:val="left"/>
        <w:rPr>
          <w:bdr w:val="single" w:sz="12" w:space="1" w:color="000000"/>
        </w:rPr>
      </w:pPr>
      <w:r>
        <w:rPr>
          <w:bdr w:val="single" w:sz="12" w:space="1" w:color="000000"/>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zsquareex5-1.htm"/>
      <w:bookmarkStart w:id="4" w:name="kszsquareex51"/>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962150" cy="1085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1962150" cy="1085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Morris Zarif</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917-232-6547</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mzarif@zariflg.com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Squared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 South Andrews Ave., Suite 700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Lauderdale, FL 33301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w:t>
      </w:r>
      <w:r>
        <w:rPr>
          <w:rFonts w:ascii="Times New Roman;Times;Serif" w:hAnsi="Times New Roman;Times;Serif"/>
          <w:b w:val="false"/>
          <w:i w:val="false"/>
          <w:caps w:val="false"/>
          <w:smallCaps w:val="false"/>
          <w:sz w:val="20"/>
          <w:u w:val="single"/>
        </w:rPr>
        <w:t>Registration Statement on Form 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familiar with the Registration Statement on Form S-8 (the “Registration Statement”) being filed by Z Squared Inc., a Delaware corporation (the “Company”), with the Securities and Exchange Commission (the “Commission”) under the Securities Act of 1933, as amended (the “Securities Act”), on the date hereof. The Registration Statement relates to the offer and sale by the Company of up to 7,900,000 shares (the “Shares”) of its common stock, par value $0.0001 per share (“Common Stock”), issuable under the Z Squared Inc. 2025 Incentive Compensation Plan (the “Plan”), together with such additional shares of Common Stock as may become issuable under the Plan pursuant to Rule 416(a) under the Securities Act by reason of the anti-dilution, adjustment, and similar provisions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the opinion expressed below, we have examined and relied upon the Certificate of Incorporation and Bylaws of the Company, each as amended and restated to date, the records of meetings and consents of the Company’s Board of Directors, or committees thereof, records of the proceedings of stockholders deemed to be relevant to this opinion letter and the Plan, the award agreements evidencing the awards granted under the Plan, and the Registration Statement, each as provided to us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examined such matters of fact and questions of law as we have considered appropriate for the purposes of this letter. We have relied upon certificates and other assurances of officers of the Company and others as to factual matters without having independently verified such factual matters. In our examination, we have assumed the genuineness of all signatures, the authenticity of all documents submitted to us as originals, the conformity to authentic original documents of all documents submitted to us as copies and the due authorization, execution and delivery of all documents by all persons other than the Company where authorization, execution and delivery are prerequisites to the effectiveness of such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62150" cy="1085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962150" cy="1085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Morris Zarif</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917-232-6547</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mzarif@zariflg.com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that the Company will continue to have sufficient authorized, unissued and otherwise unreserved shares of Common Stock available for issuance at the time of each issuance of the Shares pursuant to the Plan. We have also assumed that the consideration to be received by the Company for the Shares (whether in the form of cash, services rendered to the Company, or other consideration permitted under the General Corporation Law of the State of Delaware) will be valid consideration with a value equal to or in excess of the par value of the Common Stock, and that the Company’s Board of Directors has determined, or will determine, that such consideration is adequate. In rendering the opinion expressed below, we express no opinion other than as to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it is our opinion that the Shares, when issued and delivered by the Company in accordance with the terms of the Plan and the award agreements thereunder against the Company’s receipt of the consideration therefor, will be duly authorized,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to be used only in connection with the offer and sale of the Shares while the Registration Statement is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delivered solely for the benefit of the Company and such other persons as are entitled to rely upon it pursuant to the applicable provisions of the Securities Act. This opinion may not be used, quoted, relied upon or referred to for any other purpose, nor may this opinion be used, quoted, relied upon or referred to by any other person, for any purpose, without our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based upon currently existing statutes, rules and regulations and judicial decisions and is rendered as of the date hereof, and we disclaim any obligation to advise you of any change in any of the foregoing sources of law or subsequent developments in law or changes in facts or circumstances which might affect any matters or opinions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shall be interpreted in accordance with the Core Opinion Principles jointly issued by the Committee on Legal Opinions of the American Bar Association’s Business Law Section and the Working Group on Legal Opinions Foundation as published in 74 Business Lawyer 815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an exhibit to the Registration Statement. In giving such consent, we do not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tbl>
      <w:tblPr>
        <w:tblW w:w="2209" w:type="dxa"/>
        <w:jc w:val="left"/>
        <w:tblInd w:w="0" w:type="dxa"/>
        <w:tblLayout w:type="fixed"/>
        <w:tblCellMar>
          <w:top w:w="0" w:type="dxa"/>
          <w:left w:w="0" w:type="dxa"/>
          <w:bottom w:w="0" w:type="dxa"/>
          <w:right w:w="0" w:type="dxa"/>
        </w:tblCellMar>
      </w:tblPr>
      <w:tblGrid>
        <w:gridCol w:w="398"/>
        <w:gridCol w:w="1736"/>
        <w:gridCol w:w="75"/>
      </w:tblGrid>
      <w:tr>
        <w:trPr/>
        <w:tc>
          <w:tcPr>
            <w:tcW w:w="21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c>
          <w:tcPr>
            <w:tcW w:w="75" w:type="dxa"/>
            <w:tcBorders/>
            <w:vAlign w:val="center"/>
          </w:tcPr>
          <w:p>
            <w:pPr>
              <w:pStyle w:val="TableContents"/>
              <w:bidi w:val="0"/>
              <w:spacing w:before="0" w:after="283"/>
              <w:jc w:val="left"/>
              <w:rPr/>
            </w:pPr>
            <w:r>
              <w:rPr/>
              <w:t> </w:t>
            </w:r>
          </w:p>
        </w:tc>
      </w:tr>
      <w:tr>
        <w:trPr/>
        <w:tc>
          <w:tcPr>
            <w:tcW w:w="398" w:type="dxa"/>
            <w:tcBorders/>
            <w:vAlign w:val="center"/>
          </w:tcPr>
          <w:p>
            <w:pPr>
              <w:pStyle w:val="TableContents"/>
              <w:bidi w:val="0"/>
              <w:spacing w:before="0" w:after="283"/>
              <w:jc w:val="left"/>
              <w:rPr/>
            </w:pPr>
            <w:r>
              <w:rPr/>
              <w:t> </w:t>
            </w:r>
          </w:p>
        </w:tc>
        <w:tc>
          <w:tcPr>
            <w:tcW w:w="173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ZARIF LAW GROUP P.C.</w:t>
            </w:r>
          </w:p>
        </w:tc>
        <w:tc>
          <w:tcPr>
            <w:tcW w:w="75" w:type="dxa"/>
            <w:tcBorders/>
            <w:vAlign w:val="center"/>
          </w:tcPr>
          <w:p>
            <w:pPr>
              <w:pStyle w:val="TableContents"/>
              <w:bidi w:val="0"/>
              <w:spacing w:before="0" w:after="283"/>
              <w:jc w:val="left"/>
              <w:rPr/>
            </w:pPr>
            <w:r>
              <w:rPr/>
              <w:t> </w:t>
            </w:r>
          </w:p>
        </w:tc>
      </w:tr>
      <w:tr>
        <w:trPr/>
        <w:tc>
          <w:tcPr>
            <w:tcW w:w="398" w:type="dxa"/>
            <w:tcBorders/>
            <w:vAlign w:val="center"/>
          </w:tcPr>
          <w:p>
            <w:pPr>
              <w:pStyle w:val="TableContents"/>
              <w:bidi w:val="0"/>
              <w:spacing w:before="0" w:after="283"/>
              <w:jc w:val="left"/>
              <w:rPr/>
            </w:pPr>
            <w:r>
              <w:rPr/>
              <w:t> </w:t>
            </w:r>
          </w:p>
        </w:tc>
        <w:tc>
          <w:tcPr>
            <w:tcW w:w="173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3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Morris C. Zarif</w:t>
            </w:r>
          </w:p>
        </w:tc>
        <w:tc>
          <w:tcPr>
            <w:tcW w:w="75" w:type="dxa"/>
            <w:tcBorders/>
            <w:vAlign w:val="center"/>
          </w:tcPr>
          <w:p>
            <w:pPr>
              <w:pStyle w:val="TableContents"/>
              <w:bidi w:val="0"/>
              <w:spacing w:before="0" w:after="283"/>
              <w:jc w:val="left"/>
              <w:rPr/>
            </w:pPr>
            <w:r>
              <w:rPr/>
              <w:t> </w:t>
            </w:r>
          </w:p>
        </w:tc>
      </w:tr>
      <w:tr>
        <w:trPr/>
        <w:tc>
          <w:tcPr>
            <w:tcW w:w="21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w:t>
            </w:r>
          </w:p>
        </w:tc>
        <w:tc>
          <w:tcPr>
            <w:tcW w:w="75" w:type="dxa"/>
            <w:tcBorders/>
            <w:vAlign w:val="center"/>
          </w:tcPr>
          <w:p>
            <w:pPr>
              <w:pStyle w:val="TableContents"/>
              <w:bidi w:val="0"/>
              <w:spacing w:before="0" w:after="283"/>
              <w:jc w:val="left"/>
              <w:rPr/>
            </w:pPr>
            <w:r>
              <w:rPr/>
              <w:t> </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zsquareex23-1.htm"/>
      <w:bookmarkStart w:id="6" w:name="kszsquareex231"/>
      <w:bookmarkEnd w:id="5"/>
      <w:bookmarkEnd w:id="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S-8 of Z Squared Inc. of our report dated February 19, 2026 relating to the financial statements of Z Squared, Inc. (now known as Z Squared OpCo, Inc.) as of and for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Stephano Slack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Wayne, Pennsylvania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 w:name="zsquareex23-2.htm"/>
      <w:bookmarkStart w:id="8" w:name="kszsquareex232"/>
      <w:bookmarkEnd w:id="7"/>
      <w:bookmarkEnd w:id="8"/>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CONSENT OF INDEPENDENT </w:t>
      </w:r>
      <w:r>
        <w:rPr>
          <w:rFonts w:ascii="Times New Roman;Times;Serif" w:hAnsi="Times New Roman;Times;Serif"/>
          <w:b w:val="false"/>
          <w:i w:val="false"/>
          <w:caps w:val="false"/>
          <w:smallCaps w:val="false"/>
          <w:spacing w:val="-2"/>
          <w:sz w:val="20"/>
        </w:rPr>
        <w:t>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in this Registration Statement (No. 333-) on Form S-8 of Z Squared Inc. (formerly Coeptis Therapeutics Holdings, Inc.) of our report dated March 19, 2026, relating to our audit of the consolidated financial statements of Coeptis Therapeutics Holdings, Inc.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3203" w:type="dxa"/>
        <w:jc w:val="left"/>
        <w:tblInd w:w="0" w:type="dxa"/>
        <w:tblLayout w:type="fixed"/>
        <w:tblCellMar>
          <w:top w:w="0" w:type="dxa"/>
          <w:left w:w="0" w:type="dxa"/>
          <w:bottom w:w="0" w:type="dxa"/>
          <w:right w:w="0" w:type="dxa"/>
        </w:tblCellMar>
      </w:tblPr>
      <w:tblGrid>
        <w:gridCol w:w="3128"/>
        <w:gridCol w:w="75"/>
      </w:tblGrid>
      <w:tr>
        <w:trPr/>
        <w:tc>
          <w:tcPr>
            <w:tcW w:w="3128" w:type="dxa"/>
            <w:tcBorders/>
            <w:vAlign w:val="center"/>
          </w:tcPr>
          <w:p>
            <w:pPr>
              <w:pStyle w:val="TableContents"/>
              <w:bidi w:val="0"/>
              <w:spacing w:before="0" w:after="283"/>
              <w:jc w:val="left"/>
              <w:rPr/>
            </w:pPr>
            <w:r>
              <w:rPr/>
              <w:drawing>
                <wp:inline distT="0" distB="0" distL="0" distR="0">
                  <wp:extent cx="1685925"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1685925" cy="400050"/>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r>
        <w:trPr/>
        <w:tc>
          <w:tcPr>
            <w:tcW w:w="3128" w:type="dxa"/>
            <w:tcBorders/>
            <w:vAlign w:val="center"/>
          </w:tcPr>
          <w:p>
            <w:pPr>
              <w:pStyle w:val="TableContents"/>
              <w:bidi w:val="0"/>
              <w:spacing w:before="0" w:after="283"/>
              <w:jc w:val="left"/>
              <w:rPr/>
            </w:pPr>
            <w:r>
              <w:rPr/>
              <w:t xml:space="preserve">Tampa, Florida August 21, </w:t>
            </w:r>
            <w:r>
              <w:rPr>
                <w:spacing w:val="-4"/>
              </w:rPr>
              <w:t>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9" w:name="zsquareex-fee.htm"/>
      <w:bookmarkStart w:id="10" w:name="kszsquareexfee"/>
      <w:bookmarkEnd w:id="9"/>
      <w:bookmarkEnd w:id="10"/>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Z Squared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44"/>
        <w:gridCol w:w="60"/>
        <w:gridCol w:w="1083"/>
        <w:gridCol w:w="60"/>
        <w:gridCol w:w="575"/>
        <w:gridCol w:w="60"/>
        <w:gridCol w:w="1121"/>
        <w:gridCol w:w="60"/>
        <w:gridCol w:w="1069"/>
        <w:gridCol w:w="60"/>
        <w:gridCol w:w="263"/>
        <w:gridCol w:w="828"/>
        <w:gridCol w:w="60"/>
        <w:gridCol w:w="149"/>
        <w:gridCol w:w="1493"/>
        <w:gridCol w:w="60"/>
        <w:gridCol w:w="1040"/>
        <w:gridCol w:w="60"/>
        <w:gridCol w:w="173"/>
        <w:gridCol w:w="1087"/>
      </w:tblGrid>
      <w:tr>
        <w:trPr/>
        <w:tc>
          <w:tcPr>
            <w:tcW w:w="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r>
      <w:tr>
        <w:trPr/>
        <w:tc>
          <w:tcPr>
            <w:tcW w:w="844"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83"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21"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69"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91"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42"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r>
      <w:tr>
        <w:trPr/>
        <w:tc>
          <w:tcPr>
            <w:tcW w:w="844"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Common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7,900,000</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828" w:type="dxa"/>
            <w:tcBorders/>
            <w:vAlign w:val="center"/>
          </w:tcPr>
          <w:p>
            <w:pPr>
              <w:pStyle w:val="TableContents"/>
              <w:bidi w:val="0"/>
              <w:spacing w:before="0" w:after="283"/>
              <w:jc w:val="right"/>
              <w:rPr/>
            </w:pPr>
            <w:r>
              <w:rPr/>
              <w:t>4.05</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1493" w:type="dxa"/>
            <w:tcBorders/>
            <w:vAlign w:val="center"/>
          </w:tcPr>
          <w:p>
            <w:pPr>
              <w:pStyle w:val="TableContents"/>
              <w:bidi w:val="0"/>
              <w:spacing w:before="0" w:after="283"/>
              <w:jc w:val="right"/>
              <w:rPr/>
            </w:pPr>
            <w:r>
              <w:rPr/>
              <w:t>31,995,000.00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087" w:type="dxa"/>
            <w:tcBorders/>
            <w:vAlign w:val="center"/>
          </w:tcPr>
          <w:p>
            <w:pPr>
              <w:pStyle w:val="TableContents"/>
              <w:bidi w:val="0"/>
              <w:spacing w:before="0" w:after="283"/>
              <w:jc w:val="right"/>
              <w:rPr/>
            </w:pPr>
            <w:r>
              <w:rPr/>
              <w:t>4,418.51</w:t>
            </w:r>
          </w:p>
        </w:tc>
      </w:tr>
      <w:tr>
        <w:trPr/>
        <w:tc>
          <w:tcPr>
            <w:tcW w:w="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bottom w:val="single" w:sz="8" w:space="0" w:color="000000"/>
            </w:tcBorders>
            <w:tcMar>
              <w:bottom w:w="28" w:type="dxa"/>
            </w:tcMar>
            <w:vAlign w:val="center"/>
          </w:tcPr>
          <w:p>
            <w:pPr>
              <w:pStyle w:val="TableContents"/>
              <w:bidi w:val="0"/>
              <w:spacing w:before="0" w:after="283"/>
              <w:jc w:val="left"/>
              <w:rPr/>
            </w:pPr>
            <w:r>
              <w:rPr/>
              <w:t> </w:t>
            </w:r>
          </w:p>
        </w:tc>
        <w:tc>
          <w:tcPr>
            <w:tcW w:w="1493"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bottom w:val="single" w:sz="8" w:space="0" w:color="000000"/>
            </w:tcBorders>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83"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1493" w:type="dxa"/>
            <w:tcBorders/>
            <w:vAlign w:val="center"/>
          </w:tcPr>
          <w:p>
            <w:pPr>
              <w:pStyle w:val="TableContents"/>
              <w:bidi w:val="0"/>
              <w:spacing w:before="0" w:after="283"/>
              <w:jc w:val="right"/>
              <w:rPr/>
            </w:pPr>
            <w:r>
              <w:rPr/>
              <w:t>31,995,000.00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4,418.51</w:t>
            </w:r>
          </w:p>
        </w:tc>
      </w:tr>
      <w:tr>
        <w:trPr/>
        <w:tc>
          <w:tcPr>
            <w:tcW w:w="6083"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bottom w:val="single" w:sz="8" w:space="0" w:color="000000"/>
            </w:tcBorders>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083"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bottom w:val="double" w:sz="8" w:space="0" w:color="000000"/>
            </w:tcBorders>
            <w:tcMar>
              <w:bottom w:w="28" w:type="dxa"/>
            </w:tcMar>
            <w:vAlign w:val="center"/>
          </w:tcPr>
          <w:p>
            <w:pPr>
              <w:pStyle w:val="TableContents"/>
              <w:bidi w:val="0"/>
              <w:spacing w:before="0" w:after="283"/>
              <w:jc w:val="left"/>
              <w:rPr/>
            </w:pPr>
            <w:r>
              <w:rPr/>
              <w:t>$</w:t>
            </w:r>
          </w:p>
        </w:tc>
        <w:tc>
          <w:tcPr>
            <w:tcW w:w="1087" w:type="dxa"/>
            <w:tcBorders>
              <w:bottom w:val="double" w:sz="8" w:space="0" w:color="000000"/>
            </w:tcBorders>
            <w:tcMar>
              <w:bottom w:w="28" w:type="dxa"/>
            </w:tcMar>
            <w:vAlign w:val="center"/>
          </w:tcPr>
          <w:p>
            <w:pPr>
              <w:pStyle w:val="TableContents"/>
              <w:bidi w:val="0"/>
              <w:spacing w:before="0" w:after="283"/>
              <w:jc w:val="right"/>
              <w:rPr/>
            </w:pPr>
            <w:r>
              <w:rPr/>
              <w:t>4,418.51</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Represents 7,900,000 shares of common stock, par value $0.0001 per share (“Common Stock”), of Z Squared Inc. (the “Registrant”) issuable pursuant to the Z Squared Inc. 2025 Incentive Compensation Plan (the “2025 Plan”). Pursuant to Rule 416(a) under the Securities Act of 1933, as amended (the “Securities Act”), this Registration Statement shall also cover any additional shares of Common Stock that become issuable under the 2025 Plan by reason of any stock dividend, stock split, recapitalization or other similar transaction effected without the receipt of consideration that results in an increase in the number of the outstanding shares of Common Stock.</w:t>
              <w:br/>
              <w:br/>
              <w:t>Estimated solely for the purpose of calculating the registration fee pursuant to Rules 457(c) and 457(h) under the Securities Act, based on the average of the high and low prices of the Common Stock as reported on the Nasdaq Global Market on August 19, 2026, which date is within five business days prior to the filing of this Registration Statement.</w:t>
              <w:br/>
              <w:br/>
              <w:t>Calculated in accordance with Section 6(b) of the Securities Act at a rate equal to $138.10 per $1,000,000 of the proposed maximum aggregate offering price.</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59186/000168316826002026/coeptis_i10k-123125.htm" TargetMode="External"/><Relationship Id="rId3" Type="http://schemas.openxmlformats.org/officeDocument/2006/relationships/hyperlink" Target="http://www.sec.gov/ix?doc=/Archives/edgar/data/1759186/000168316826003948/zsquared_i10q-033126.htm" TargetMode="External"/><Relationship Id="rId4" Type="http://schemas.openxmlformats.org/officeDocument/2006/relationships/hyperlink" Target="http://www.sec.gov/Archives/edgar/data/1759186/000118518526003508/zsqr10q063026.htm" TargetMode="External"/><Relationship Id="rId5" Type="http://schemas.openxmlformats.org/officeDocument/2006/relationships/hyperlink" Target="http://www.sec.gov/Archives/edgar/data/1759186/000168316826003388/zsquared_8k.htm" TargetMode="External"/><Relationship Id="rId6" Type="http://schemas.openxmlformats.org/officeDocument/2006/relationships/hyperlink" Target="http://www.sec.gov/Archives/edgar/data/1759186/000168316826004425/zsquared_8ka1.htm" TargetMode="External"/><Relationship Id="rId7" Type="http://schemas.openxmlformats.org/officeDocument/2006/relationships/hyperlink" Target="http://www.sec.gov/Archives/edgar/data/1759186/000168316826003388/zsquared_8k.htm" TargetMode="External"/><Relationship Id="rId8" Type="http://schemas.openxmlformats.org/officeDocument/2006/relationships/hyperlink" Target="http://www.sec.gov/Archives/edgar/data/1759186/000168316822007257/coeptis_ex0301.htm" TargetMode="External"/><Relationship Id="rId9" Type="http://schemas.openxmlformats.org/officeDocument/2006/relationships/hyperlink" Target="http://www.sec.gov/Archives/edgar/data/1759186/000168316824009012/coeptis_ex9901.htm" TargetMode="External"/><Relationship Id="rId10" Type="http://schemas.openxmlformats.org/officeDocument/2006/relationships/hyperlink" Target="http://www.sec.gov/Archives/edgar/data/1759186/000168316826003388/zsquared_0302.htm" TargetMode="External"/><Relationship Id="rId11" Type="http://schemas.openxmlformats.org/officeDocument/2006/relationships/hyperlink" Target="http://www.sec.gov/Archives/edgar/data/1759186/000168316826003948/zsquared_ex0303.htm" TargetMode="External"/><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4304</Words>
  <Characters>22858</Characters>
  <CharactersWithSpaces>27253</CharactersWithSpaces>
  <Paragraphs>563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