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zsqr8k070726.htm"/>
      <w:bookmarkStart w:id="1" w:name="kszsqr8k070726"/>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6_edei--DocumentType_c20260706__20"/>
      <w:bookmarkEnd w:id="2"/>
      <w:r>
        <w:rPr>
          <w:rFonts w:ascii="Times New Roman;Times;Serif" w:hAnsi="Times New Roman;Times;Serif"/>
          <w:b/>
          <w:i w:val="false"/>
          <w:caps w:val="false"/>
          <w:smallCaps w:val="false"/>
          <w:sz w:val="32"/>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6,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Z SQUARED INC.</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090" w:type="dxa"/>
        <w:jc w:val="left"/>
        <w:tblInd w:w="0" w:type="dxa"/>
        <w:shd w:fill="FFFFFF" w:val="clear"/>
        <w:tblLayout w:type="fixed"/>
        <w:tblCellMar>
          <w:top w:w="0" w:type="dxa"/>
          <w:left w:w="0" w:type="dxa"/>
          <w:bottom w:w="28" w:type="dxa"/>
          <w:right w:w="0" w:type="dxa"/>
        </w:tblCellMar>
      </w:tblPr>
      <w:tblGrid>
        <w:gridCol w:w="2225"/>
        <w:gridCol w:w="60"/>
        <w:gridCol w:w="2195"/>
        <w:gridCol w:w="60"/>
        <w:gridCol w:w="1550"/>
      </w:tblGrid>
      <w:tr>
        <w:trPr/>
        <w:tc>
          <w:tcPr>
            <w:tcW w:w="2225" w:type="dxa"/>
            <w:tcBorders>
              <w:bottom w:val="single" w:sz="8" w:space="0" w:color="000000"/>
            </w:tcBorders>
            <w:shd w:fill="FFFFFF" w:val="clear"/>
            <w:vAlign w:val="center"/>
          </w:tcPr>
          <w:p>
            <w:pPr>
              <w:pStyle w:val="TableContents"/>
              <w:bidi w:val="0"/>
              <w:spacing w:before="0" w:after="283"/>
              <w:jc w:val="center"/>
              <w:rPr>
                <w:sz w:val="20"/>
              </w:rPr>
            </w:pPr>
            <w:bookmarkStart w:id="5" w:name="xdx_904_edei--EntityIncorporationStateCo"/>
            <w:bookmarkEnd w:id="5"/>
            <w:r>
              <w:rPr>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5" w:type="dxa"/>
            <w:tcBorders>
              <w:bottom w:val="single" w:sz="8" w:space="0" w:color="000000"/>
            </w:tcBorders>
            <w:shd w:fill="FFFFFF" w:val="clear"/>
            <w:vAlign w:val="center"/>
          </w:tcPr>
          <w:p>
            <w:pPr>
              <w:pStyle w:val="TableContents"/>
              <w:bidi w:val="0"/>
              <w:spacing w:before="0" w:after="283"/>
              <w:jc w:val="center"/>
              <w:rPr>
                <w:sz w:val="20"/>
              </w:rPr>
            </w:pPr>
            <w:bookmarkStart w:id="6" w:name="xdx_903_edei--EntityFileNumber_c20260706"/>
            <w:bookmarkEnd w:id="6"/>
            <w:r>
              <w:rPr>
                <w:sz w:val="20"/>
              </w:rPr>
              <w:t>001-39669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shd w:fill="FFFFFF" w:val="clear"/>
            <w:vAlign w:val="center"/>
          </w:tcPr>
          <w:p>
            <w:pPr>
              <w:pStyle w:val="TableContents"/>
              <w:bidi w:val="0"/>
              <w:spacing w:before="0" w:after="283"/>
              <w:jc w:val="center"/>
              <w:rPr>
                <w:sz w:val="20"/>
              </w:rPr>
            </w:pPr>
            <w:bookmarkStart w:id="7" w:name="xdx_902_edei--EntityTaxIdentificationNum"/>
            <w:bookmarkEnd w:id="7"/>
            <w:r>
              <w:rPr>
                <w:sz w:val="20"/>
              </w:rPr>
              <w:t>98-1465952</w:t>
            </w:r>
          </w:p>
        </w:tc>
      </w:tr>
      <w:tr>
        <w:trPr/>
        <w:tc>
          <w:tcPr>
            <w:tcW w:w="2225" w:type="dxa"/>
            <w:tcBorders/>
            <w:shd w:fill="FFFFFF" w:val="clear"/>
            <w:tcMar>
              <w:bottom w:w="0" w:type="dxa"/>
            </w:tcMar>
            <w:vAlign w:val="center"/>
          </w:tcPr>
          <w:p>
            <w:pPr>
              <w:pStyle w:val="TableContents"/>
              <w:bidi w:val="0"/>
              <w:spacing w:before="0" w:after="283"/>
              <w:jc w:val="center"/>
              <w:rPr>
                <w:i/>
                <w:sz w:val="20"/>
              </w:rPr>
            </w:pPr>
            <w:r>
              <w:rPr>
                <w:i/>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5" w:type="dxa"/>
            <w:tcBorders/>
            <w:shd w:fill="FFFFFF" w:val="clear"/>
            <w:tcMar>
              <w:bottom w:w="0" w:type="dxa"/>
            </w:tcMar>
            <w:vAlign w:val="center"/>
          </w:tcPr>
          <w:p>
            <w:pPr>
              <w:pStyle w:val="TableContents"/>
              <w:bidi w:val="0"/>
              <w:spacing w:before="0" w:after="283"/>
              <w:jc w:val="center"/>
              <w:rPr>
                <w:i/>
                <w:sz w:val="20"/>
              </w:rPr>
            </w:pPr>
            <w:r>
              <w:rPr>
                <w:i/>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i/>
                <w:sz w:val="20"/>
              </w:rPr>
            </w:pPr>
            <w:r>
              <w:rPr>
                <w:i/>
                <w:sz w:val="20"/>
              </w:rPr>
              <w:t xml:space="preserve">(IRS Employer </w:t>
              <w:br/>
              <w:t>Identification No.)</w:t>
            </w:r>
          </w:p>
        </w:tc>
      </w:tr>
    </w:tbl>
    <w:p>
      <w:pPr>
        <w:pStyle w:val="TextBody"/>
        <w:bidi w:val="0"/>
        <w:spacing w:before="0" w:after="283"/>
        <w:jc w:val="left"/>
        <w:rPr/>
      </w:pPr>
      <w:r>
        <w:rPr/>
        <w:t> </w:t>
      </w:r>
    </w:p>
    <w:tbl>
      <w:tblPr>
        <w:tblW w:w="4195" w:type="dxa"/>
        <w:jc w:val="left"/>
        <w:tblInd w:w="0" w:type="dxa"/>
        <w:shd w:fill="FFFFFF" w:val="clear"/>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550 South Andrews Ave., </w:t>
            </w:r>
            <w:bookmarkStart w:id="9" w:name="xdx_909_edei--EntityAddressAddressLine2_"/>
            <w:bookmarkEnd w:id="9"/>
            <w:r>
              <w:rPr>
                <w:rFonts w:ascii="Times New Roman;Times;Serif" w:hAnsi="Times New Roman;Times;Serif"/>
                <w:b/>
                <w:i w:val="false"/>
                <w:caps w:val="false"/>
                <w:smallCaps w:val="false"/>
                <w:sz w:val="20"/>
              </w:rPr>
              <w:t>Suite #700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Fort Lauderdale, </w:t>
            </w:r>
            <w:bookmarkStart w:id="11" w:name="xdx_90F_edei--EntityAddressStateOrProvin"/>
            <w:bookmarkEnd w:id="11"/>
            <w:r>
              <w:rPr>
                <w:rFonts w:ascii="Times New Roman;Times;Serif" w:hAnsi="Times New Roman;Times;Serif"/>
                <w:b/>
                <w:i w:val="false"/>
                <w:caps w:val="false"/>
                <w:smallCaps w:val="false"/>
                <w:sz w:val="20"/>
              </w:rPr>
              <w:t>Florida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vAlign w:val="center"/>
          </w:tcPr>
          <w:p>
            <w:pPr>
              <w:pStyle w:val="TableContents"/>
              <w:bidi w:val="0"/>
              <w:spacing w:before="0" w:after="283"/>
              <w:jc w:val="center"/>
              <w:rPr>
                <w:b/>
                <w:sz w:val="20"/>
              </w:rPr>
            </w:pPr>
            <w:bookmarkStart w:id="12" w:name="xdx_904_edei--EntityAddressPostalZipCode"/>
            <w:bookmarkEnd w:id="12"/>
            <w:r>
              <w:rPr>
                <w:b/>
                <w:sz w:val="20"/>
              </w:rPr>
              <w:t>33301</w:t>
            </w:r>
          </w:p>
        </w:tc>
      </w:tr>
      <w:tr>
        <w:trPr/>
        <w:tc>
          <w:tcPr>
            <w:tcW w:w="321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4_edei--CityAreaCode_c20260706__20"/>
      <w:bookmarkEnd w:id="13"/>
      <w:r>
        <w:rPr>
          <w:rFonts w:ascii="Times New Roman;Times;Serif" w:hAnsi="Times New Roman;Times;Serif"/>
          <w:b/>
          <w:i w:val="false"/>
          <w:caps w:val="false"/>
          <w:smallCaps w:val="false"/>
          <w:sz w:val="20"/>
          <w:u w:val="single"/>
        </w:rPr>
        <w:t>305-</w:t>
      </w:r>
      <w:bookmarkStart w:id="14" w:name="xdx_909_edei--LocalPhoneNumber_c20260706"/>
      <w:bookmarkEnd w:id="14"/>
      <w:r>
        <w:rPr>
          <w:rFonts w:ascii="Times New Roman;Times;Serif" w:hAnsi="Times New Roman;Times;Serif"/>
          <w:b/>
          <w:i w:val="false"/>
          <w:caps w:val="false"/>
          <w:smallCaps w:val="false"/>
          <w:sz w:val="20"/>
          <w:u w:val="single"/>
        </w:rPr>
        <w:t>697-0792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8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60" w:type="dxa"/>
        <w:jc w:val="left"/>
        <w:tblInd w:w="0" w:type="dxa"/>
        <w:shd w:fill="FFFFFF" w:val="clear"/>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FFFFFF" w:val="clear"/>
            <w:tcMar>
              <w:bottom w:w="0" w:type="dxa"/>
            </w:tcMar>
            <w:vAlign w:val="center"/>
          </w:tcPr>
          <w:p>
            <w:pPr>
              <w:pStyle w:val="TableContents"/>
              <w:bidi w:val="0"/>
              <w:spacing w:before="0" w:after="283"/>
              <w:jc w:val="center"/>
              <w:rPr>
                <w:sz w:val="20"/>
              </w:rPr>
            </w:pPr>
            <w:bookmarkStart w:id="19" w:name="xdx_906_edei--Security12bTitle_c20260706"/>
            <w:bookmarkEnd w:id="19"/>
            <w:r>
              <w:rPr>
                <w:sz w:val="20"/>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0_edei--TradingSymbol_c20260706__2"/>
            <w:bookmarkEnd w:id="20"/>
            <w:r>
              <w:rPr>
                <w:sz w:val="20"/>
              </w:rPr>
              <w:t>ZSQR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pPr>
            <w:r>
              <w:rPr>
                <w:sz w:val="20"/>
              </w:rPr>
              <w:t xml:space="preserve">The </w:t>
            </w:r>
            <w:bookmarkStart w:id="21" w:name="xdx_905_edei--SecurityExchangeName_c2026"/>
            <w:bookmarkEnd w:id="21"/>
            <w:r>
              <w:rPr>
                <w:sz w:val="20"/>
              </w:rPr>
              <w:t>Nasdaq</w:t>
            </w:r>
            <w:r>
              <w:rPr/>
              <w:t xml:space="preserve"> </w:t>
            </w:r>
            <w:r>
              <w:rPr>
                <w:sz w:val="20"/>
              </w:rPr>
              <w:t>Global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Z Squared Inc., a Delaware corporation (the “Company”), entered into a Sales Agreement (the “Sales Agreement”) with Roth Capital Partners, LLC (the “Agent”), pursuant to which the Company may offer and sell, from time to time, through or to the Agent, acting as the Company’s sales agent or principal, shares of the Company’s common stock, par value $0.0001 per share (the “Placement Shares”), having an aggregate offering price of up to $300,000,000.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Placement Shares will be made pursuant to the Company’s automatic shelf registration statement on Form S-3 (File No. 333-297288) (the “Registration Statement”), which was filed with the U.S. Securities and Exchange Commission (the “SEC”) on July 7, 2026 and became effective automatically upon filing pursuant to General Instruction I.D. to Form S-3 and Rule 462(e) under the Securities Act of 1933, as amended (the “Securities Act”), including the base prospectus contained therein and the sales agreement prospectus relating to the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to the Agent, and subject to the terms and conditions of the Sales Agreement, the Agent may sell the Placement Shares by any method permitted by law and deemed to be an “at the market offering” as defined in Rule 415(a)(4) under the Securities Act, including sales made directly on or through The Nasdaq Global Market, the existing trading market for the Company’s common stock, sales made to or through a market maker other than on an exchange, in negotiated transactions at market prices prevailing at the time of sale or at prices related to such prevailing market prices, and/or any other method permitted by law. The Company is not obligated to sell, and the Agent is not obligated to buy or sell, any Placement Shares, but the Agent will use its commercially reasonable efforts, consistent with its normal trading and sales practices, to sell Placement Shares on the terms and subject to the conditions set forth in the Sales Agreement when and to the extent the Company directs it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Agent a commission equal to 3.0% of the gross sales price of the Placement Shares sold through the Agent under the Sales Agreement and has agreed to reimburse the Agent for certain specified expenses. Under the terms of the Sales Agreement, the Company also may sell Placement Shares to the Agent, as principal for its own account, at a price agreed upon at the time of sale; any such sale would be made pursuant to the terms of a separate terms agreement between the Company and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Sales Agreement, the Company will not sell through the Agent any Placement Shares that would exceed the number or dollar amount of shares of common stock registered and available for sale under the Registration Statement, the number of authorized but unissued shares of common stock, or the number or dollar amount of shares authorized from time to time to be sold under the Sales Agreement by the Company’s board of directors. The Sales Agreement contains customary representations, warranties and covenants by the Company, customary conditions to the Agent’s obligations, customary indemnification and contribution provisions, and customary termination provisions. The Company or the Agent may terminate the Sales Agreement upon five days’ prior notice; the Sales Agreement will automatically terminate upon the sale of all Placement Shares subject thereto, and the Agent may terminate the Sales Agreement under certain other specified circumstances, including the occurrence of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the Placement Shares has been passed upon by Zarif Law Group P.C., counsel to the Company, whose opinion is filed as Exhibit 5.1 to this Current Report on Form 8-K. The foregoing description of the Sales Agreement does not purport to be complete and is qualified in its entirety by reference to the full text of the Sales Agreement, which is filed as Exhibit 10.1 to the Registration Statement and is incorporated by reference into this Item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contained in the Sales Agreement were made only for purposes of the Sales Agreement and as of specific dates, were solely for the benefit of the parties to the Sales Agreement, and may be subject to limitations agreed upon by the contracting parties. Accordingly, the Sales Agreement is incorporated herein by reference only to provide investors with information regarding its terms and not to provide investors with any other factual information regarding the Company or its business, and should be read in conjunction with the disclosures in the Company’s periodic and current reports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3"/>
        <w:gridCol w:w="60"/>
        <w:gridCol w:w="9212"/>
      </w:tblGrid>
      <w:tr>
        <w:trPr/>
        <w:tc>
          <w:tcPr>
            <w:tcW w:w="933"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12"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933"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212" w:type="dxa"/>
            <w:tcBorders/>
            <w:tcMar>
              <w:bottom w:w="0" w:type="dxa"/>
            </w:tcMar>
            <w:vAlign w:val="center"/>
          </w:tcPr>
          <w:p>
            <w:pPr>
              <w:pStyle w:val="TableContents"/>
              <w:bidi w:val="0"/>
              <w:spacing w:before="0" w:after="283"/>
              <w:jc w:val="both"/>
              <w:rPr/>
            </w:pPr>
            <w:hyperlink r:id="rId2">
              <w:r>
                <w:rPr>
                  <w:rStyle w:val="InternetLink"/>
                </w:rPr>
                <w:t>Sales Agreement, dated July 6, 2026, between Z Squared Inc. and Roth Capital Partners, LLC (incorporated by reference to Exhibit 1.2 to the Company’s Registration Statement on Form S-3 (File No. 333-297288) filed with the SEC on July 7, 2026).</w:t>
              </w:r>
            </w:hyperlink>
          </w:p>
        </w:tc>
      </w:tr>
      <w:tr>
        <w:trPr/>
        <w:tc>
          <w:tcPr>
            <w:tcW w:w="933" w:type="dxa"/>
            <w:tcBorders/>
            <w:tcMar>
              <w:bottom w:w="0" w:type="dxa"/>
            </w:tcMar>
            <w:vAlign w:val="center"/>
          </w:tcPr>
          <w:p>
            <w:pPr>
              <w:pStyle w:val="TableContents"/>
              <w:bidi w:val="0"/>
              <w:spacing w:before="0" w:after="283"/>
              <w:jc w:val="left"/>
              <w:rPr/>
            </w:pPr>
            <w:r>
              <w:rPr/>
              <w:t>5.1</w:t>
            </w:r>
          </w:p>
        </w:tc>
        <w:tc>
          <w:tcPr>
            <w:tcW w:w="60" w:type="dxa"/>
            <w:tcBorders/>
            <w:tcMar>
              <w:bottom w:w="0" w:type="dxa"/>
            </w:tcMar>
            <w:vAlign w:val="center"/>
          </w:tcPr>
          <w:p>
            <w:pPr>
              <w:pStyle w:val="TableContents"/>
              <w:bidi w:val="0"/>
              <w:spacing w:before="0" w:after="283"/>
              <w:jc w:val="left"/>
              <w:rPr/>
            </w:pPr>
            <w:r>
              <w:rPr/>
              <w:t> </w:t>
            </w:r>
          </w:p>
        </w:tc>
        <w:tc>
          <w:tcPr>
            <w:tcW w:w="9212" w:type="dxa"/>
            <w:tcBorders/>
            <w:tcMar>
              <w:bottom w:w="0" w:type="dxa"/>
            </w:tcMar>
            <w:vAlign w:val="center"/>
          </w:tcPr>
          <w:p>
            <w:pPr>
              <w:pStyle w:val="TableContents"/>
              <w:bidi w:val="0"/>
              <w:spacing w:before="0" w:after="283"/>
              <w:jc w:val="both"/>
              <w:rPr/>
            </w:pPr>
            <w:hyperlink w:anchor="zsqrex5-1.htm">
              <w:r>
                <w:rPr>
                  <w:rStyle w:val="InternetLink"/>
                </w:rPr>
                <w:t>Opinion of Zarif Law Group P.C.</w:t>
              </w:r>
            </w:hyperlink>
          </w:p>
        </w:tc>
      </w:tr>
      <w:tr>
        <w:trPr/>
        <w:tc>
          <w:tcPr>
            <w:tcW w:w="933" w:type="dxa"/>
            <w:tcBorders/>
            <w:tcMar>
              <w:bottom w:w="0" w:type="dxa"/>
            </w:tcMar>
            <w:vAlign w:val="center"/>
          </w:tcPr>
          <w:p>
            <w:pPr>
              <w:pStyle w:val="TableContents"/>
              <w:bidi w:val="0"/>
              <w:spacing w:before="0" w:after="283"/>
              <w:jc w:val="left"/>
              <w:rPr/>
            </w:pPr>
            <w:r>
              <w:rPr/>
              <w:t>23.1</w:t>
            </w:r>
          </w:p>
        </w:tc>
        <w:tc>
          <w:tcPr>
            <w:tcW w:w="60" w:type="dxa"/>
            <w:tcBorders/>
            <w:tcMar>
              <w:bottom w:w="0" w:type="dxa"/>
            </w:tcMar>
            <w:vAlign w:val="center"/>
          </w:tcPr>
          <w:p>
            <w:pPr>
              <w:pStyle w:val="TableContents"/>
              <w:bidi w:val="0"/>
              <w:spacing w:before="0" w:after="283"/>
              <w:jc w:val="left"/>
              <w:rPr/>
            </w:pPr>
            <w:r>
              <w:rPr/>
              <w:t> </w:t>
            </w:r>
          </w:p>
        </w:tc>
        <w:tc>
          <w:tcPr>
            <w:tcW w:w="9212" w:type="dxa"/>
            <w:tcBorders/>
            <w:tcMar>
              <w:bottom w:w="0" w:type="dxa"/>
            </w:tcMar>
            <w:vAlign w:val="center"/>
          </w:tcPr>
          <w:p>
            <w:pPr>
              <w:pStyle w:val="TableContents"/>
              <w:bidi w:val="0"/>
              <w:spacing w:before="0" w:after="283"/>
              <w:jc w:val="both"/>
              <w:rPr/>
            </w:pPr>
            <w:hyperlink w:anchor="zsqrex5-1.htm">
              <w:r>
                <w:rPr>
                  <w:rStyle w:val="InternetLink"/>
                </w:rPr>
                <w:t>Consent of Zarif Law Group P.C. (included in Exhibit 5.1).</w:t>
              </w:r>
            </w:hyperlink>
          </w:p>
        </w:tc>
      </w:tr>
      <w:tr>
        <w:trPr/>
        <w:tc>
          <w:tcPr>
            <w:tcW w:w="933"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212"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1775"/>
        <w:gridCol w:w="650"/>
        <w:gridCol w:w="2300"/>
      </w:tblGrid>
      <w:tr>
        <w:trPr/>
        <w:tc>
          <w:tcPr>
            <w:tcW w:w="17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both"/>
              <w:rPr>
                <w:b/>
              </w:rPr>
            </w:pPr>
            <w:r>
              <w:rPr>
                <w:b/>
              </w:rPr>
              <w:t>Z SQUARED INC.</w:t>
            </w:r>
          </w:p>
        </w:tc>
      </w:tr>
      <w:tr>
        <w:trPr/>
        <w:tc>
          <w:tcPr>
            <w:tcW w:w="17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both"/>
              <w:rPr/>
            </w:pPr>
            <w:r>
              <w:rPr/>
              <w:t> </w:t>
            </w:r>
          </w:p>
        </w:tc>
      </w:tr>
      <w:tr>
        <w:trPr/>
        <w:tc>
          <w:tcPr>
            <w:tcW w:w="1775" w:type="dxa"/>
            <w:tcBorders/>
            <w:vAlign w:val="center"/>
          </w:tcPr>
          <w:p>
            <w:pPr>
              <w:pStyle w:val="TableContents"/>
              <w:bidi w:val="0"/>
              <w:spacing w:before="0" w:after="283"/>
              <w:jc w:val="left"/>
              <w:rPr/>
            </w:pPr>
            <w:r>
              <w:rPr/>
              <w:t>Date: July 7, 2026</w:t>
            </w:r>
          </w:p>
        </w:tc>
        <w:tc>
          <w:tcPr>
            <w:tcW w:w="650" w:type="dxa"/>
            <w:tcBorders/>
            <w:vAlign w:val="center"/>
          </w:tcPr>
          <w:p>
            <w:pPr>
              <w:pStyle w:val="TableContents"/>
              <w:bidi w:val="0"/>
              <w:spacing w:before="0" w:after="283"/>
              <w:jc w:val="both"/>
              <w:rPr/>
            </w:pPr>
            <w:r>
              <w:rPr/>
              <w:t>By:</w:t>
            </w:r>
          </w:p>
        </w:tc>
        <w:tc>
          <w:tcPr>
            <w:tcW w:w="2300" w:type="dxa"/>
            <w:tcBorders>
              <w:bottom w:val="single" w:sz="8" w:space="0" w:color="000000"/>
            </w:tcBorders>
            <w:tcMar>
              <w:bottom w:w="28" w:type="dxa"/>
            </w:tcMar>
            <w:vAlign w:val="center"/>
          </w:tcPr>
          <w:p>
            <w:pPr>
              <w:pStyle w:val="TableContents"/>
              <w:bidi w:val="0"/>
              <w:spacing w:before="0" w:after="283"/>
              <w:jc w:val="both"/>
              <w:rPr/>
            </w:pPr>
            <w:r>
              <w:rPr/>
              <w:t>/s/ David Halabu</w:t>
            </w:r>
          </w:p>
        </w:tc>
      </w:tr>
      <w:tr>
        <w:trPr/>
        <w:tc>
          <w:tcPr>
            <w:tcW w:w="17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David Halabu</w:t>
            </w:r>
          </w:p>
        </w:tc>
      </w:tr>
      <w:tr>
        <w:trPr/>
        <w:tc>
          <w:tcPr>
            <w:tcW w:w="17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zsqrex5-1.htm"/>
      <w:bookmarkStart w:id="24" w:name="kszsqrex51"/>
      <w:bookmarkEnd w:id="23"/>
      <w:bookmarkEnd w:id="2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ZARIF LAW GROUP P.C.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 Springwood Avenue, Suite 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Asbury Park, NJ 07712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Andrews Avenue, Suite 700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Lauderdale, FL 33301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S-3 (File No. 333-297288)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Z Squared Inc., a Delaware corporation (the “Company”), in connection with the Company’s automatic shelf registration statement on Form S-3 (the “Registration Statement”), filed with the Securities and Exchange Commission (the “SEC”) on July 7, 2026 and effective automatically upon filing pursuant to Rule 462(e) under the Securities Act of 1933, as amended (the “Act”), including the base prospectus contained therein (the “Base Prospectus”) and the sales agreement prospectus contained therein (together with the Base Prospectus, the “Prospectus”), relating to the offering by the Company of up to a maximum aggregate offering price of $300,000,000 of shares (the “Shares”) of the Company’s common stock, par value $0.0001 per share (“Common Stock”), to be issued and sold from time to time in an at-the-market offering pursuant to that certain Sales Agreement, dated as of July 6, 2026 (the “Sales Agreement”), between the Company and Roth Capital Partners, LLC (the “Agent”). The Shares are covered by the Registration Statement, and we understand that the Shares are to be offered and sold in the manner described in the Prospectus. This opinion is being delivered at the request of the Company and in accordance with the requirements of Item 601(b)(5) of Regulation S-K promulgated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examined such documents and reviewed such questions of law as we have considered necessary and appropriate for the purposes of our opinion set forth below. In rendering our opinion,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our opinions, we have relied upon certificates of officers of the Company and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have been duly authorized and, when issued and sold by the Company and paid for as described in the Prospectus and in accordance with the Sales Agreement,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and the laws of the State of New York, in each case as currently in effect, and no opinion is expressed with respect to any other laws or any effect that such other laws may have on the opinions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Exhibit 5.1 to the Company’s Current Report on Form 8-K filed with the SEC on or about the date hereof, which is incorporated by reference into the Registration Statement. We also consent to the reference to our firm under the caption “Legal Matters” in the Prospectus and in each case in any amendment or supplement thereto. In giving this consent, we do not thereby admit that we are within the category of persons whose consent is required under Section 7 or Section 11 of the Act, or the rules and regulations of the SEC promulgated thereunder, nor do we admit that we are experts with respect to any part of the Prospectus within the meaning of the term “expert” as used in the Act or the related rules and regulations of the SEC promulgated thereunder.</w:t>
      </w:r>
    </w:p>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335"/>
        <w:gridCol w:w="1460"/>
        <w:gridCol w:w="75"/>
      </w:tblGrid>
      <w:tr>
        <w:trPr/>
        <w:tc>
          <w:tcPr>
            <w:tcW w:w="1795" w:type="dxa"/>
            <w:gridSpan w:val="2"/>
            <w:tcBorders/>
            <w:vAlign w:val="center"/>
          </w:tcPr>
          <w:p>
            <w:pPr>
              <w:pStyle w:val="TableContents"/>
              <w:bidi w:val="0"/>
              <w:spacing w:before="0" w:after="283"/>
              <w:jc w:val="left"/>
              <w:rPr>
                <w:sz w:val="20"/>
              </w:rPr>
            </w:pPr>
            <w:r>
              <w:rPr>
                <w:sz w:val="20"/>
              </w:rPr>
              <w:t>Very truly yours,</w:t>
            </w:r>
          </w:p>
        </w:tc>
        <w:tc>
          <w:tcPr>
            <w:tcW w:w="75" w:type="dxa"/>
            <w:tcBorders/>
            <w:vAlign w:val="center"/>
          </w:tcPr>
          <w:p>
            <w:pPr>
              <w:pStyle w:val="TableContents"/>
              <w:bidi w:val="0"/>
              <w:spacing w:before="0" w:after="283"/>
              <w:jc w:val="left"/>
              <w:rPr/>
            </w:pPr>
            <w:r>
              <w:rPr/>
              <w:t> </w:t>
            </w:r>
          </w:p>
        </w:tc>
      </w:tr>
      <w:tr>
        <w:trPr/>
        <w:tc>
          <w:tcPr>
            <w:tcW w:w="17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5" w:type="dxa"/>
            <w:gridSpan w:val="2"/>
            <w:tcBorders/>
            <w:vAlign w:val="center"/>
          </w:tcPr>
          <w:p>
            <w:pPr>
              <w:pStyle w:val="TableContents"/>
              <w:bidi w:val="0"/>
              <w:spacing w:before="0" w:after="283"/>
              <w:jc w:val="left"/>
              <w:rPr>
                <w:sz w:val="20"/>
              </w:rPr>
            </w:pPr>
            <w:r>
              <w:rPr>
                <w:sz w:val="20"/>
              </w:rPr>
              <w:t>Zarif Law Group P.C.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Morris C. Zarif</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9186/000118518526002816/zsquaredex1-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1983</Words>
  <Characters>10270</Characters>
  <CharactersWithSpaces>12254</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