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 Squared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001-39669</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98-1465952</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5"/>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ind w:left="116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550 South Andrews Ave., Suite #700</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Fort Lauderdale, Florida</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33301</w:t>
            </w:r>
          </w:p>
        </w:tc>
      </w:tr>
      <w:tr>
        <w:trPr>
          <w:trHeight w:val="22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954-400-9994</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ZSQR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2026, Z Squared Inc., a Delaware corporation (the “Company”), entered into a binding Letter of Intent (the “LOI”) with Paradox Data LLC (“Paradox”) and the holders of the membership interests of Paradox (collectively, the “Sellers”), pursuant to which the Company proposes to acquire a majority membership interest in Paradox (the “Transaction”). Paradox is a digital infrastructure company focused on high-density, immersion-cooled compute for data-intensive workloads.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acquired interests, at the closing of the Transaction (the “Closing”) the Company would issue to the Sellers, pro rata, shares of a newly designated series of the Company's preferred stock to be designated Series D Convertible Preferred Stock (the “Series D Preferred”) having an aggregate initial liquidation preference of $5,000,000. The Transaction is structured entirely in Series D Preferred, with no cash consideration and no debt financing. The terms of the Series D Preferred would be set forth in a Certificate of Designation to be filed with the Secretary of State of the State of Delaware at or prior to the Closing.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Transaction is subject to the negotiation and execution of definitive transaction documentation, the completion of the Company's due diligence, the vesting in Paradox of specified technology, land, and operational power capacity, the receipt of required consents and approvals, and the satisfaction or waiver of other customary closing conditions, including any approval of the Company's stockholders required under applicable Nasdaq listing rules, and is subject to a drop-dead date of July 31, 2026. There can be no assurance that the Transaction will be consummated on the terms described herein, or at all. The Series D Preferred to be issued in the Transaction has not been registered under the Securities Act of 1933, as amended (the “Securities Act”), and would be issued in reliance upon the exemption from registration provided by Section 4(a)(2) of the Securities Act and Rule 506(b) of Regulation D promulgated thereunder.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LOI does not purport to be complete and is qualified in its entirety by reference to the full text of the LOI,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execution of the LOI and the proposed Transaction.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0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080" w:type="dxa"/>
            <w:vAlign w:val="bottom"/>
            <w:tcBorders>
              <w:top w:val="single" w:sz="8" w:color="auto"/>
              <w:bottom w:val="single" w:sz="8" w:color="0000EE"/>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Binding Letter of Intent, dated June 18, 2026, by and among Z Squared Inc., Paradox Data LLC, and the Sellers party thereto.</w:t>
            </w:r>
          </w:p>
        </w:tc>
        <w:tc>
          <w:tcPr>
            <w:tcW w:w="92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issued by Z Squared Inc. on June 25, 2026.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160" w:hanging="5572"/>
        <w:spacing w:after="0" w:line="657"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4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Halabu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BINDING LETTER OF INTENT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of a Majority Membership Interest in Paradox Data LLC by Z Squared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June 18, 2026</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Paradox Data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800 Laurel Oak Drive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Apt. #4</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Naples, FL 34108</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Attn: Armand Nannicola</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color w:val="auto"/>
        </w:rPr>
        <w:t>Acquisition of a Majority Membership Interest in Paradox Data LLC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This Binding Letter of Intent (this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 xml:space="preserve">”) sets forth the mutually agreed principal terms and conditions upon which </w:t>
      </w:r>
      <w:r>
        <w:rPr>
          <w:rFonts w:ascii="Times New Roman" w:cs="Times New Roman" w:eastAsia="Times New Roman" w:hAnsi="Times New Roman"/>
          <w:sz w:val="18"/>
          <w:szCs w:val="18"/>
          <w:b w:val="1"/>
          <w:bCs w:val="1"/>
          <w:color w:val="auto"/>
        </w:rPr>
        <w:t>Z Squared Inc.</w:t>
      </w:r>
      <w:r>
        <w:rPr>
          <w:rFonts w:ascii="Times New Roman" w:cs="Times New Roman" w:eastAsia="Times New Roman" w:hAnsi="Times New Roman"/>
          <w:sz w:val="18"/>
          <w:szCs w:val="18"/>
          <w:color w:val="auto"/>
        </w:rPr>
        <w:t>, a Delaware corporation (Nasdaq: ZSQR)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proposes to acquire a fifty-one percent (51%) majority membership interest in </w:t>
      </w:r>
      <w:r>
        <w:rPr>
          <w:rFonts w:ascii="Times New Roman" w:cs="Times New Roman" w:eastAsia="Times New Roman" w:hAnsi="Times New Roman"/>
          <w:sz w:val="18"/>
          <w:szCs w:val="18"/>
          <w:b w:val="1"/>
          <w:bCs w:val="1"/>
          <w:color w:val="auto"/>
        </w:rPr>
        <w:t>Paradox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Paradox</w:t>
      </w:r>
      <w:r>
        <w:rPr>
          <w:rFonts w:ascii="Times New Roman" w:cs="Times New Roman" w:eastAsia="Times New Roman" w:hAnsi="Times New Roman"/>
          <w:sz w:val="18"/>
          <w:szCs w:val="18"/>
          <w:color w:val="auto"/>
        </w:rPr>
        <w:t>”), from the holders of the membership interests of the Company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Upon execution of this LOI by the Buyer and the Sellers, the parties shall be bound as set forth in Section 17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Transaction</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At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Sellers shall sell, assign, transfer, and deliver to Buyer, and Buyer shall purchase from the Sellers, membership interests of the Company (the “</w:t>
      </w:r>
      <w:r>
        <w:rPr>
          <w:rFonts w:ascii="Times New Roman" w:cs="Times New Roman" w:eastAsia="Times New Roman" w:hAnsi="Times New Roman"/>
          <w:sz w:val="18"/>
          <w:szCs w:val="18"/>
          <w:b w:val="1"/>
          <w:bCs w:val="1"/>
          <w:color w:val="auto"/>
        </w:rPr>
        <w:t>Acquired Interests</w:t>
      </w:r>
      <w:r>
        <w:rPr>
          <w:rFonts w:ascii="Times New Roman" w:cs="Times New Roman" w:eastAsia="Times New Roman" w:hAnsi="Times New Roman"/>
          <w:sz w:val="18"/>
          <w:szCs w:val="18"/>
          <w:color w:val="auto"/>
        </w:rPr>
        <w:t>”) representing, immediately following the Closing, fifty-one percent (51%) of the issued and outstanding membership units of the Company on a fully diluted basis, free and clear of all liens, pledges, security interests, and encumbrances (other than restrictions arising under applicable securities laws and the Amended and Restated LLC Agreement referenced in Section 4.2). The Company shall continue in existence as a going concern following the Closing, with Buyer holding the Acquired Interests as its majority member and the Sellers holding the remaining forty-nine percent (49%) of the membership units, all as more fully described in a schedule of assets and liabilities to be set forth in the Purchase Agreement (as defined below).</w:t>
      </w:r>
    </w:p>
    <w:p>
      <w:pPr>
        <w:spacing w:after="0" w:line="183"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As a condition to the Closing, the following assets and rights (collectively, the “</w:t>
      </w:r>
      <w:r>
        <w:rPr>
          <w:rFonts w:ascii="Times New Roman" w:cs="Times New Roman" w:eastAsia="Times New Roman" w:hAnsi="Times New Roman"/>
          <w:sz w:val="18"/>
          <w:szCs w:val="18"/>
          <w:b w:val="1"/>
          <w:bCs w:val="1"/>
          <w:color w:val="auto"/>
        </w:rPr>
        <w:t>Required Assets</w:t>
      </w:r>
      <w:r>
        <w:rPr>
          <w:rFonts w:ascii="Times New Roman" w:cs="Times New Roman" w:eastAsia="Times New Roman" w:hAnsi="Times New Roman"/>
          <w:sz w:val="18"/>
          <w:szCs w:val="18"/>
          <w:color w:val="auto"/>
        </w:rPr>
        <w:t>”) shall be owned by, and vested in, the Company free and clear of all liens (other than permitted liens to be defined in the Purchase Agreement): (a) all technology, data, and intellectual property rights, as enumerated in the Purchase Agreement; (b) ten (10) acres of land, under a binding contract to purchase, with legal description, title, and all related ownership and transfer rights to be confirmed in diligence; and (c) eight (8) megawatts (MW) of fully operational power capacity, energized and available as of the Closing, as set forth in a signed, binding power purchase agreement and/or utility name change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 Consideration</w:t>
      </w:r>
    </w:p>
    <w:p>
      <w:pPr>
        <w:spacing w:after="0" w:line="225"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As consideration for the Acquired Interests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at the Closing Buyer shall issue to the Sellers, pro rata in accordance with their respective ownership of the membership units sold, an aggregate number of shares of Buyer’s newly designated Series D Convertible Preferred Stock (the “</w:t>
      </w:r>
      <w:r>
        <w:rPr>
          <w:rFonts w:ascii="Times New Roman" w:cs="Times New Roman" w:eastAsia="Times New Roman" w:hAnsi="Times New Roman"/>
          <w:sz w:val="18"/>
          <w:szCs w:val="18"/>
          <w:b w:val="1"/>
          <w:bCs w:val="1"/>
          <w:color w:val="auto"/>
        </w:rPr>
        <w:t>Series D Preferred</w:t>
      </w:r>
      <w:r>
        <w:rPr>
          <w:rFonts w:ascii="Times New Roman" w:cs="Times New Roman" w:eastAsia="Times New Roman" w:hAnsi="Times New Roman"/>
          <w:sz w:val="18"/>
          <w:szCs w:val="18"/>
          <w:color w:val="auto"/>
        </w:rPr>
        <w:t xml:space="preserve">”) having an aggregate initial Liquidation Preference of </w:t>
      </w:r>
      <w:r>
        <w:rPr>
          <w:rFonts w:ascii="Times New Roman" w:cs="Times New Roman" w:eastAsia="Times New Roman" w:hAnsi="Times New Roman"/>
          <w:sz w:val="18"/>
          <w:szCs w:val="18"/>
          <w:b w:val="1"/>
          <w:bCs w:val="1"/>
          <w:color w:val="auto"/>
        </w:rPr>
        <w:t>$5,000,000</w:t>
      </w:r>
      <w:r>
        <w:rPr>
          <w:rFonts w:ascii="Times New Roman" w:cs="Times New Roman" w:eastAsia="Times New Roman" w:hAnsi="Times New Roman"/>
          <w:sz w:val="18"/>
          <w:szCs w:val="18"/>
          <w:color w:val="auto"/>
        </w:rPr>
        <w:t>, the principal terms of which are set forth in Section 3 below. The Series D Preferred shall be non-participating beyond its Liquidation Preference.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Series D Convertible Preferred Stock</w:t>
      </w:r>
    </w:p>
    <w:p>
      <w:pPr>
        <w:spacing w:after="0" w:line="225" w:lineRule="exact"/>
        <w:rPr>
          <w:sz w:val="20"/>
          <w:szCs w:val="20"/>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color w:val="auto"/>
        </w:rPr>
        <w:t>The terms of the Series D Preferred will be set forth in a Certificate of Designation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filed with the Delaware Secretary of State at or prior to the Closing, in form and substance consistent with this Section 3 and otherwise reasonably satisfactory to Buyer and the Sellers, and including the principal terms summarized below.</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1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81"/>
        </w:trPr>
        <w:tc>
          <w:tcPr>
            <w:tcW w:w="31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8060" w:type="dxa"/>
            <w:vAlign w:val="bottom"/>
            <w:tcBorders>
              <w:bottom w:val="single" w:sz="8" w:color="auto"/>
              <w:right w:val="single" w:sz="8" w:color="auto"/>
            </w:tcBorders>
            <w:shd w:val="clear" w:color="auto" w:fill="D9D9D9"/>
          </w:tcPr>
          <w:p>
            <w:pPr>
              <w:spacing w:after="0"/>
              <w:rPr>
                <w:sz w:val="7"/>
                <w:szCs w:val="7"/>
                <w:color w:val="auto"/>
              </w:rPr>
            </w:pPr>
          </w:p>
        </w:tc>
      </w:tr>
      <w:tr>
        <w:trPr>
          <w:trHeight w:val="291"/>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Stated Value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 per share.</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91"/>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Aggregate Initial Liquidation Preference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$5,000,000 in the aggregate.</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72"/>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Liquidation Preference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1.0x non-participating; the holders shall be entitled to receive the Liquidation Preference (plus accrued and</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unpaid dividends) in cash on a liquidation, dissolution, or winding-up of the Issuer, and shall not participate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any further distributions to holders of Common Stock. Ranking among the Issuer’s outstanding series of</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preferred stock to be set forth in the Certificate of Designation.</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72"/>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Dividends (Issuer Toggle)</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 the Issuer’s election on each quarterly payment date: (a) cash at 8.0% per annum of the then-current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Liquidation Preference, payable quarterly in arrears; or (b) pay-in-kind (PIK) at 10.0% per annum,</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compounded quarterly, accreting to and increasing the Liquidation Preference.</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91"/>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Voting</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to be set forth in the Certificate of Designation, subject to Nasdaq Listing Rule 5640.</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72"/>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Anti-Dilution</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Customary adjustments for stock splits, stock dividends, combinations, recapitalizations, reorganizations,</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similar events affecting the Common Stock, applied to the Stated Value and share counts.</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r>
        <w:trPr>
          <w:trHeight w:val="272"/>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Nasdaq 20% Cap / Cash Fallback</w:t>
            </w: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the extent any issuance of Series D Preferred (or Common Stock issuable upon conversion thereof, if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when aggregated with prior issuances, would exceed the thresholds of Nasdaq Listing Rule 5635</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(including the 19.99% threshold), the Issuer shall promptly seek shareholder approval. If such approval is not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obtained within ninety (90) days of submission, the Issuer shall pay the affected portion of the Consideration</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cash at $1,000 per Series D share equivalent (i.e., the Stated Value of the shares that would otherwise have</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80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been issued) in lieu of issuing additional Series D shares.</w:t>
            </w:r>
          </w:p>
        </w:tc>
      </w:tr>
      <w:tr>
        <w:trPr>
          <w:trHeight w:val="81"/>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806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4. Closing; Definitive Documentation</w:t>
      </w:r>
    </w:p>
    <w:p>
      <w:pPr>
        <w:spacing w:after="0" w:line="22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4.1 Target Closing Date. </w:t>
      </w:r>
      <w:r>
        <w:rPr>
          <w:rFonts w:ascii="Times New Roman" w:cs="Times New Roman" w:eastAsia="Times New Roman" w:hAnsi="Times New Roman"/>
          <w:sz w:val="18"/>
          <w:szCs w:val="18"/>
          <w:color w:val="auto"/>
        </w:rPr>
        <w:t>The Transaction shall be a bifurcated sign and close. The parties shall use their respective reasonable best efforts to consummate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on or before the date that is sixty (60) days following execution of the Purchase Agreement, subject only to the receipt by Buyer of any applicable required stockholder approval pursuant to market exchange rules.</w:t>
      </w:r>
    </w:p>
    <w:p>
      <w:pPr>
        <w:spacing w:after="0" w:line="171"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4.2 Definitive Documentation; Sellers’ Representative. </w:t>
      </w:r>
      <w:r>
        <w:rPr>
          <w:rFonts w:ascii="Times New Roman" w:cs="Times New Roman" w:eastAsia="Times New Roman" w:hAnsi="Times New Roman"/>
          <w:sz w:val="18"/>
          <w:szCs w:val="18"/>
          <w:color w:val="auto"/>
        </w:rPr>
        <w:t>The Closing shall be conditioned upon the negotiation, execution, and delivery of definitive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documentation consisting of: (a) a Membership Interest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 the Certificate of Designation;</w:t>
      </w:r>
    </w:p>
    <w:p>
      <w:pPr>
        <w:spacing w:after="0" w:line="1" w:lineRule="exact"/>
        <w:rPr>
          <w:sz w:val="20"/>
          <w:szCs w:val="20"/>
          <w:color w:val="auto"/>
        </w:rPr>
      </w:pPr>
    </w:p>
    <w:p>
      <w:pPr>
        <w:jc w:val="both"/>
        <w:ind w:left="20" w:firstLine="5"/>
        <w:spacing w:after="0" w:line="252" w:lineRule="auto"/>
        <w:tabs>
          <w:tab w:leader="none" w:pos="2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Amended and Restated Limited Liability Company Agreement of the Company (the “</w:t>
      </w:r>
      <w:r>
        <w:rPr>
          <w:rFonts w:ascii="Times New Roman" w:cs="Times New Roman" w:eastAsia="Times New Roman" w:hAnsi="Times New Roman"/>
          <w:sz w:val="18"/>
          <w:szCs w:val="18"/>
          <w:b w:val="1"/>
          <w:bCs w:val="1"/>
          <w:color w:val="auto"/>
        </w:rPr>
        <w:t>A&amp;R LLC Agreement</w:t>
      </w:r>
      <w:r>
        <w:rPr>
          <w:rFonts w:ascii="Times New Roman" w:cs="Times New Roman" w:eastAsia="Times New Roman" w:hAnsi="Times New Roman"/>
          <w:sz w:val="18"/>
          <w:szCs w:val="18"/>
          <w:color w:val="auto"/>
        </w:rPr>
        <w:t>”); (d) such consents, assignments, and other instruments as may be necessary to confirm the vesting of the Required Assets in the Company; and (e) such other agreements, certificates, instruments, and documents as Buyer or its counsel may reasonably request in connection with the Transaction, including any agreements, certificates, instruments, or documents that are customary for transactions of this type (collectively, the “</w:t>
      </w:r>
      <w:r>
        <w:rPr>
          <w:rFonts w:ascii="Times New Roman" w:cs="Times New Roman" w:eastAsia="Times New Roman" w:hAnsi="Times New Roman"/>
          <w:sz w:val="18"/>
          <w:szCs w:val="18"/>
          <w:b w:val="1"/>
          <w:bCs w:val="1"/>
          <w:color w:val="auto"/>
        </w:rPr>
        <w:t>Definitive Documentation</w:t>
      </w:r>
      <w:r>
        <w:rPr>
          <w:rFonts w:ascii="Times New Roman" w:cs="Times New Roman" w:eastAsia="Times New Roman" w:hAnsi="Times New Roman"/>
          <w:sz w:val="18"/>
          <w:szCs w:val="18"/>
          <w:color w:val="auto"/>
        </w:rPr>
        <w:t>”). The Definitive Documentation shall reflect, and be consistent in all material respects with, the terms set forth in this LOI, and shall be drafted by Buyer’s counsel. Armand Nannicola (the “</w:t>
      </w:r>
      <w:r>
        <w:rPr>
          <w:rFonts w:ascii="Times New Roman" w:cs="Times New Roman" w:eastAsia="Times New Roman" w:hAnsi="Times New Roman"/>
          <w:sz w:val="18"/>
          <w:szCs w:val="18"/>
          <w:b w:val="1"/>
          <w:bCs w:val="1"/>
          <w:color w:val="auto"/>
        </w:rPr>
        <w:t>Sellers’ Representative</w:t>
      </w:r>
      <w:r>
        <w:rPr>
          <w:rFonts w:ascii="Times New Roman" w:cs="Times New Roman" w:eastAsia="Times New Roman" w:hAnsi="Times New Roman"/>
          <w:sz w:val="18"/>
          <w:szCs w:val="18"/>
          <w:color w:val="auto"/>
        </w:rPr>
        <w:t>”) shall be authorized to act on behalf of the Sellers for dispute resolution, indemnity claims, and all post-Closing communications with Buyer, on terms to be set forth in the Purchase Agreement.</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Purchase Agreement will contain representations and warranties customary for transactions of this type, including, but in no way limited to: (a) of the</w:t>
      </w:r>
    </w:p>
    <w:p>
      <w:pPr>
        <w:spacing w:after="0" w:line="27"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Sellers: due organization (where applicable), authority and enforceability, title to the Acquired Interests (free and clear), and non-contravention; (b) of the Company: due organization and good standing, capitalization, financial statements, absence of undisclosed liabilities, absence of certain changes, material contracts (including power agreements, hosting agreements, and utility commitments), power purchase agreements, real property (including the ten (10) acres of land to be owned by or under binding contract), the Required Assets, intellectual property, data privacy, employee and labor matters, employee benefits, tax, litigation, compliance with laws, permits, environmental, customer and supplier matters, and customary fundamental representations; and (c) of Buyer: due organization and good standing, corporate authority, valid authorization and issuance of the Series D Preferred, Nasdaq listing and compliance, SEC reporting compliance, and non-contravention. The Purchase Agreement will also contain interim operating covenants customary for transactions of this type, including covenants restricting material actions by the Company between signing and Closing, a non-solicitation covenant binding on the Sellers and the Company, covenants to obtain required consents and approvals, and reasonable cooperation covenants with respect to regulatory matters, SEC disclosure, and tax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Conditions Precedent to Closing</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Transaction shall be subject to the satisfaction (or waiver by the party entitled to the benefit thereof) of customary conditions precedent, including:</w:t>
      </w:r>
    </w:p>
    <w:p>
      <w:pPr>
        <w:spacing w:after="0" w:line="162" w:lineRule="exact"/>
        <w:rPr>
          <w:sz w:val="20"/>
          <w:szCs w:val="20"/>
          <w:color w:val="auto"/>
        </w:rPr>
      </w:pPr>
    </w:p>
    <w:p>
      <w:pPr>
        <w:jc w:val="both"/>
        <w:ind w:left="660" w:hanging="315"/>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Buyer’s legal, financial, tax, operational, and technical due diligence on the Company (including site, environmental, title, and power-supply diligence with respect to the Required Assets), with results reasonably satisfactory to Buyer, such condition to expire on the date that is thirty (30) days after the date of this LOI;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ind w:left="660" w:hanging="315"/>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and delivery of the Definitive Documentation by all parties thereto, including the A&amp;R LLC Agreement;</w:t>
      </w:r>
    </w:p>
    <w:p>
      <w:pPr>
        <w:spacing w:after="0" w:line="225" w:lineRule="exact"/>
        <w:rPr>
          <w:rFonts w:ascii="Times New Roman" w:cs="Times New Roman" w:eastAsia="Times New Roman" w:hAnsi="Times New Roman"/>
          <w:sz w:val="18"/>
          <w:szCs w:val="18"/>
          <w:color w:val="auto"/>
        </w:rPr>
      </w:pPr>
    </w:p>
    <w:p>
      <w:pPr>
        <w:jc w:val="both"/>
        <w:ind w:left="660" w:hanging="315"/>
        <w:spacing w:after="0" w:line="258"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all Required Assets are properly owned by, and vested in, or subject to binding contract rights in favor of the Company, including (i) the technology, data, and intellectual property rights, (ii) the ten (10) acres of land, whether owned by the Company, or subject to a binding contract to purchase, with legal description, title, and transfer rights to be confirmed in diligence, and (iii) eight (8) MW of fully operational, energized, and available power capacity, as set forth in a signed, binding power purchase agreement and/or utility name change agreement;</w:t>
      </w:r>
    </w:p>
    <w:p>
      <w:pPr>
        <w:spacing w:after="0" w:line="183" w:lineRule="exact"/>
        <w:rPr>
          <w:rFonts w:ascii="Times New Roman" w:cs="Times New Roman" w:eastAsia="Times New Roman" w:hAnsi="Times New Roman"/>
          <w:sz w:val="18"/>
          <w:szCs w:val="18"/>
          <w:color w:val="auto"/>
        </w:rPr>
      </w:pPr>
    </w:p>
    <w:p>
      <w:pPr>
        <w:jc w:val="both"/>
        <w:ind w:left="660" w:hanging="315"/>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amended its certificate of incorporation as necessary to authorize and designate the Series D Preferred, and shall have filed the Certificate of Designation with the Delaware Secretary of State; Buyer shall use commercially reasonable efforts to obtain any required approvals in connection therewith;</w:t>
      </w:r>
    </w:p>
    <w:p>
      <w:pPr>
        <w:spacing w:after="0" w:line="175" w:lineRule="exact"/>
        <w:rPr>
          <w:rFonts w:ascii="Times New Roman" w:cs="Times New Roman" w:eastAsia="Times New Roman" w:hAnsi="Times New Roman"/>
          <w:sz w:val="18"/>
          <w:szCs w:val="18"/>
          <w:color w:val="auto"/>
        </w:rPr>
      </w:pPr>
    </w:p>
    <w:p>
      <w:pPr>
        <w:ind w:left="660" w:hanging="315"/>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unanimous written consent or other requisite approval of the members of the Company, in their capacities as such, pursuant to the Company’s operating agreement, authorizing the Transaction and the admission of Buyer as majority member;</w:t>
      </w:r>
    </w:p>
    <w:p>
      <w:pPr>
        <w:spacing w:after="0" w:line="161" w:lineRule="exact"/>
        <w:rPr>
          <w:rFonts w:ascii="Times New Roman" w:cs="Times New Roman" w:eastAsia="Times New Roman" w:hAnsi="Times New Roman"/>
          <w:sz w:val="18"/>
          <w:szCs w:val="18"/>
          <w:color w:val="auto"/>
        </w:rPr>
      </w:pPr>
    </w:p>
    <w:p>
      <w:pPr>
        <w:ind w:left="660" w:right="20" w:hanging="315"/>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all required governmental, regulatory, and third-party consents and approvals, including expiration or termination of any applicable waiting period under the Hart-Scott-Rodino Antitrust Improvements Act of 1976, if applicable;</w:t>
      </w:r>
    </w:p>
    <w:p>
      <w:pPr>
        <w:spacing w:after="0" w:line="161" w:lineRule="exact"/>
        <w:rPr>
          <w:rFonts w:ascii="Times New Roman" w:cs="Times New Roman" w:eastAsia="Times New Roman" w:hAnsi="Times New Roman"/>
          <w:sz w:val="18"/>
          <w:szCs w:val="18"/>
          <w:color w:val="auto"/>
        </w:rPr>
      </w:pPr>
    </w:p>
    <w:p>
      <w:pPr>
        <w:ind w:left="660" w:hanging="315"/>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under Nasdaq Listing Rule 5635 or any other applicable Nasdaq listing rule, receipt of the requisite approval of Buyer’s shareholders (subject to the Nasdaq 20% Cap / Cash Fallback set forth in Section 3);</w:t>
      </w:r>
    </w:p>
    <w:p>
      <w:pPr>
        <w:spacing w:after="0" w:line="161" w:lineRule="exact"/>
        <w:rPr>
          <w:rFonts w:ascii="Times New Roman" w:cs="Times New Roman" w:eastAsia="Times New Roman" w:hAnsi="Times New Roman"/>
          <w:sz w:val="18"/>
          <w:szCs w:val="18"/>
          <w:color w:val="auto"/>
        </w:rPr>
      </w:pPr>
    </w:p>
    <w:p>
      <w:pPr>
        <w:ind w:left="660" w:hanging="315"/>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the parties’ respective representations and warranties, and performance in all material respects of their respective covenants, in each case subject to customary materiality qualifiers;</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material adverse effect with respect to the Company since the date of this LOI; and</w:t>
      </w:r>
    </w:p>
    <w:p>
      <w:pPr>
        <w:spacing w:after="0" w:line="252"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law, order, judgment, or injunction prohibiting or making illegal the consummation of the Transaction.</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Post-Closing Interconnection Milestone</w:t>
      </w:r>
    </w:p>
    <w:p>
      <w:pPr>
        <w:spacing w:after="0" w:line="22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Within three (3) years following the Closing Date (the “</w:t>
      </w:r>
      <w:r>
        <w:rPr>
          <w:rFonts w:ascii="Times New Roman" w:cs="Times New Roman" w:eastAsia="Times New Roman" w:hAnsi="Times New Roman"/>
          <w:sz w:val="18"/>
          <w:szCs w:val="18"/>
          <w:b w:val="1"/>
          <w:bCs w:val="1"/>
          <w:color w:val="auto"/>
        </w:rPr>
        <w:t>Milestone Deadline</w:t>
      </w:r>
      <w:r>
        <w:rPr>
          <w:rFonts w:ascii="Times New Roman" w:cs="Times New Roman" w:eastAsia="Times New Roman" w:hAnsi="Times New Roman"/>
          <w:sz w:val="18"/>
          <w:szCs w:val="18"/>
          <w:color w:val="auto"/>
        </w:rPr>
        <w:t>”), the Company shall submit, and obtain acceptance of, a completed LPHLDS interconnection request for up to fifty (50) MW of utility power (the “</w:t>
      </w:r>
      <w:r>
        <w:rPr>
          <w:rFonts w:ascii="Times New Roman" w:cs="Times New Roman" w:eastAsia="Times New Roman" w:hAnsi="Times New Roman"/>
          <w:sz w:val="18"/>
          <w:szCs w:val="18"/>
          <w:b w:val="1"/>
          <w:bCs w:val="1"/>
          <w:color w:val="auto"/>
        </w:rPr>
        <w:t>Interconnection Milestone</w:t>
      </w:r>
      <w:r>
        <w:rPr>
          <w:rFonts w:ascii="Times New Roman" w:cs="Times New Roman" w:eastAsia="Times New Roman" w:hAnsi="Times New Roman"/>
          <w:sz w:val="18"/>
          <w:szCs w:val="18"/>
          <w:color w:val="auto"/>
        </w:rPr>
        <w:t>”). The Interconnection Milestone shall be deemed satisfied upon the accepted application for such interconnection request. If the Interconnection Milestone is not satisfied by the Milestone Deadline, then, for each six-month period thereafter during which such failure remains uncured, an additional five percent (5%) membership interest in the Company shall be transferred from the Sellers to Buyer, for no additional consideration; provided, that the aggregate number of such transfers shall not exceed five (5) (representing an aggregate of up to twenty-five percent (25%) of the membership units), and provided further that the Milestone Deadline and each cure period shall be subject to customary extensions for delays not within the reasonable control of the Company. The mechanics of any such transfer shall be set forth in the A&amp;R LLC Agreement and the Purchase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8. Rights of First Refusal and First Offer; Retained Interests</w:t>
      </w:r>
    </w:p>
    <w:p>
      <w:pPr>
        <w:spacing w:after="0" w:line="225"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8.1 Right of First Refusal. </w:t>
      </w:r>
      <w:r>
        <w:rPr>
          <w:rFonts w:ascii="Times New Roman" w:cs="Times New Roman" w:eastAsia="Times New Roman" w:hAnsi="Times New Roman"/>
          <w:sz w:val="18"/>
          <w:szCs w:val="18"/>
          <w:color w:val="auto"/>
        </w:rPr>
        <w:t>From and after the Closing, and for so long as Buyer holds any membership interests in the Company, if any Seller (or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permitted transferees) (each, a “</w:t>
      </w:r>
      <w:r>
        <w:rPr>
          <w:rFonts w:ascii="Times New Roman" w:cs="Times New Roman" w:eastAsia="Times New Roman" w:hAnsi="Times New Roman"/>
          <w:sz w:val="18"/>
          <w:szCs w:val="18"/>
          <w:b w:val="1"/>
          <w:bCs w:val="1"/>
          <w:color w:val="auto"/>
        </w:rPr>
        <w:t>Transferring Member</w:t>
      </w:r>
      <w:r>
        <w:rPr>
          <w:rFonts w:ascii="Times New Roman" w:cs="Times New Roman" w:eastAsia="Times New Roman" w:hAnsi="Times New Roman"/>
          <w:sz w:val="18"/>
          <w:szCs w:val="18"/>
          <w:color w:val="auto"/>
        </w:rPr>
        <w:t>”) proposes to sell, assign, transfer, or otherwise dispose of all or any portion of the remaining forty-nine percent (49%) of the membership units of the Company retained by the Sellers (the “</w:t>
      </w:r>
      <w:r>
        <w:rPr>
          <w:rFonts w:ascii="Times New Roman" w:cs="Times New Roman" w:eastAsia="Times New Roman" w:hAnsi="Times New Roman"/>
          <w:sz w:val="18"/>
          <w:szCs w:val="18"/>
          <w:b w:val="1"/>
          <w:bCs w:val="1"/>
          <w:color w:val="auto"/>
        </w:rPr>
        <w:t>Retained Interests</w:t>
      </w:r>
      <w:r>
        <w:rPr>
          <w:rFonts w:ascii="Times New Roman" w:cs="Times New Roman" w:eastAsia="Times New Roman" w:hAnsi="Times New Roman"/>
          <w:sz w:val="18"/>
          <w:szCs w:val="18"/>
          <w:color w:val="auto"/>
        </w:rPr>
        <w:t>”) pursuant to a bona fide written offer from a third party (a “</w:t>
      </w:r>
      <w:r>
        <w:rPr>
          <w:rFonts w:ascii="Times New Roman" w:cs="Times New Roman" w:eastAsia="Times New Roman" w:hAnsi="Times New Roman"/>
          <w:sz w:val="18"/>
          <w:szCs w:val="18"/>
          <w:b w:val="1"/>
          <w:bCs w:val="1"/>
          <w:color w:val="auto"/>
        </w:rPr>
        <w:t>Third-Party Offer</w:t>
      </w:r>
      <w:r>
        <w:rPr>
          <w:rFonts w:ascii="Times New Roman" w:cs="Times New Roman" w:eastAsia="Times New Roman" w:hAnsi="Times New Roman"/>
          <w:sz w:val="18"/>
          <w:szCs w:val="18"/>
          <w:color w:val="auto"/>
        </w:rPr>
        <w:t>”), the Transferring Member shall first offer such Retained Interests to Buyer by delivering written notice to Buyer setting forth the identity of the proposed transferee and all material terms and conditions of the Third-Party Offer (including the purchase price and form of consideration). Buyer shall have the right, but not the obligation, exercisable by written notice delivered within thirty (30) days following its receipt of such notice, to purchase all (but not less than all) of the offered Retained Interests on the same terms and conditions as those set forth in the Third-Party Offer (provided that Buyer may pay the cash equivalent of any non-cash consideration). If Buyer does not exercise such right within such period, the Transferring Member may, for a period of ninety (90) days thereafter, consummate the sale of the offered Retained Interests to the proposed transferee at a price not less than, and on terms no more favorable in the aggregate to such transferee than, those set forth in the Third-Party Offer; any sale outside such period, or on more favorable terms, shall again be subject to this Section 8.1. Any transferee of Retained Interests shall take such interests subject to the terms of this Section 8 and the A&amp;R LLC Agreement.</w:t>
      </w:r>
    </w:p>
    <w:p>
      <w:pPr>
        <w:spacing w:after="0" w:line="19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8.2 Right of First Offer. </w:t>
      </w:r>
      <w:r>
        <w:rPr>
          <w:rFonts w:ascii="Times New Roman" w:cs="Times New Roman" w:eastAsia="Times New Roman" w:hAnsi="Times New Roman"/>
          <w:sz w:val="18"/>
          <w:szCs w:val="18"/>
          <w:color w:val="auto"/>
        </w:rPr>
        <w:t>From and after the Closing, and for so long as Buyer holds any membership interests in the Company, before a Transferring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solicits, initiates, or pursues any offer from, or enters into any negotiations with, any third party with respect to a proposed sale, assignment, transfer, or other disposition of all or any portion of the Retained Interests, the Transferring Member shall first deliver written notice to Buyer of its intention to effect such a transfer, specifying the portion of the Retained Interests proposed to be transferred and the cash purchase price and other material terms on which the Transferring Member proposes to transfer such interests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Buyer shall have the right, but not the obligation, exercisable by written notice delivered within thirty (30) days following its receipt of the Offer Notice, to purchase all (but not less than all) of the Retained Interests described in the Offer Notice on the terms set forth therein. If Buyer timely exercises such right, the parties shall consummate such purchase and sale within forty-five (45) days following Buyer’s exercise notice, subject to customary closing conditions. If Buyer does not exercise such right within such thirty (30)-day period, the Transferring Member may, for a period of one hundred twenty (120) days thereafter, transfer such Retained Interests to a third party at a price not less than, and on terms no more favorable in the aggregate to such third party than, those specified in the Offer Notice; any transfer outside such period, or at a lower price or on more favorable terms, shall again be subject to this Section 8.2 and, in the case of a resulting Third-Party Offer, to the right of first refusal set forth in Section 8.1. The detailed mechanics, procedures, and any permitted-transfer exceptions with respect to the rights set forth in this Section 8 shall be set forth in the A&amp;R LLC Agreement and the Purchase Agreement.</w:t>
      </w:r>
    </w:p>
    <w:p>
      <w:pPr>
        <w:spacing w:after="0" w:line="18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8.3 </w:t>
      </w:r>
      <w:r>
        <w:rPr>
          <w:rFonts w:ascii="Times New Roman" w:cs="Times New Roman" w:eastAsia="Times New Roman" w:hAnsi="Times New Roman"/>
          <w:sz w:val="18"/>
          <w:szCs w:val="18"/>
          <w:color w:val="auto"/>
        </w:rPr>
        <w:t>Permitted Transfers. Notwithstanding Sections 8.1 and 8.2, any Seller or permitted transferee may transfer all or any portion of its Retained Interests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person’s immediate family members, trusts, family limited partnerships, family limited liability companies, estate-planning vehicles, or other wealth-transfer vehicles established for the benefit of such person or such person’s family members, without triggering the right of first refusal or right of first offer set forth in this Section 8; provided, that any such transferee shall agree in writing to be bound by the A&amp;R LLC Agreement and the applicable transfer restrictions set forth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Exclusivity</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From the date hereof until the earliest of (a) the Closing, (b) termination of this LOI in accordance with Section 13, and (c) 11:59 p.m. Eastern Time on the date that is sixty (60) days after the date of this LOI (the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the Sellers and the Company shall not, and shall cause their respective officers, directors, managers, employees, affiliates, members, agents, advisors, and other representatives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not to, directly or indirectly: (i) solicit, initiate, encourage, facilitate, entertain, or respond to any expression of interest, inquiry, proposal, or offer from any person other than Buyer or its Representatives relating to any acquisition, merger, recapitalization, investment in, sale of substantially all assets of, or other change-of-control transaction involving the Company or any material portion of its membership interests or assets (any such transaction, an “</w:t>
      </w:r>
      <w:r>
        <w:rPr>
          <w:rFonts w:ascii="Times New Roman" w:cs="Times New Roman" w:eastAsia="Times New Roman" w:hAnsi="Times New Roman"/>
          <w:sz w:val="18"/>
          <w:szCs w:val="18"/>
          <w:b w:val="1"/>
          <w:bCs w:val="1"/>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(ii) furnish any non-public information to, or engage in any discussions or negotiations with, any person in connection with any Alternative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(iii) enter into any agreement, arrangement, understanding, or commitment with respect to any Alternative Transaction. The Sellers and the Company shall promptly (and in any event within two (2) business days) notify Buyer in writing of any inquiry, proposal, or offer received during the Exclusivity Period with respect to an Alternative Transaction, including the identity of the proposing party and the material terms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10. Due Diligence; Access to Information</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From the date hereof until the earlier of the Closing and the termination of this LOI, the Sellers shall cause the Company to afford Buyer and its Representatives reasonable access, during normal business hours and upon reasonable prior notice, to the Company’s properties, books, records, contracts (including all power, hosting, and utility agreements), personnel, accountants, and advisors, and shall furnish to Buyer and its Representatives all such information concerning the Company and its business, operations, financial condition, the Required Assets, and prospects as Buyer may reasonably request. All information provided pursuant to this Section 10 shall be subject to the Confidentiality Agreement referenced in Section 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Good-Faith Negotiation</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Each party shall negotiate in good faith, and shall cause its Representatives to negotiate in good faith, the Definitive Documentation on the basis of, and consistent with, the principal terms set forth in this LOI, with a view toward executing and delivering the Definitive Documentation as promptly as reasonably practicable.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Publicity; Public Disclosure</w:t>
      </w:r>
    </w:p>
    <w:p>
      <w:pPr>
        <w:spacing w:after="0" w:line="2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parties acknowledge that Buyer is a public company subject to the Securities Exchange Act of 1934, as amended, and Nasdaq listing rules, and that Buyer intends to (a) file a Current Report on Form 8-K disclosing the execution of this LOI and attaching this LOI as an exhibit thereto, and (b) issue a press release regarding the Transaction (together, the “Announcement”). Buyer shall provide the Sellers’ Representative a reasonable opportunity to review and comment on portions of the Announcement describing the Sellers or the Company, and shall consider in good faith any comments timely received; provided, that Buyer shall retain sole authority over the content of the Announcement and any related SEC filings to the extent required by applicable law or Nasdaq rules. Except as provided in the Announcement or as required by applicable law or stock exchange rule, no party shall issue any press release or make any public statement with respect to this LOI or the Transaction without the prior written consent of the other parties (such consent not to be unreasonably withheld, conditioned, or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Termination; Drop Dead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13.1 Termination Events. </w:t>
      </w:r>
      <w:r>
        <w:rPr>
          <w:rFonts w:ascii="Times New Roman" w:cs="Times New Roman" w:eastAsia="Times New Roman" w:hAnsi="Times New Roman"/>
          <w:sz w:val="18"/>
          <w:szCs w:val="18"/>
          <w:color w:val="auto"/>
        </w:rPr>
        <w:t>This LOI may be terminated prior to the Closing:</w:t>
      </w:r>
    </w:p>
    <w:p>
      <w:pPr>
        <w:spacing w:after="0" w:line="229" w:lineRule="exact"/>
        <w:rPr>
          <w:sz w:val="20"/>
          <w:szCs w:val="20"/>
          <w:color w:val="auto"/>
        </w:rPr>
      </w:pPr>
    </w:p>
    <w:p>
      <w:pPr>
        <w:ind w:left="660" w:hanging="315"/>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Buyer and the Sellers’ Representative;</w:t>
      </w:r>
    </w:p>
    <w:p>
      <w:pPr>
        <w:spacing w:after="0" w:line="225" w:lineRule="exact"/>
        <w:rPr>
          <w:rFonts w:ascii="Times New Roman" w:cs="Times New Roman" w:eastAsia="Times New Roman" w:hAnsi="Times New Roman"/>
          <w:sz w:val="18"/>
          <w:szCs w:val="18"/>
          <w:color w:val="auto"/>
        </w:rPr>
      </w:pPr>
    </w:p>
    <w:p>
      <w:pPr>
        <w:jc w:val="both"/>
        <w:ind w:left="660" w:hanging="315"/>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the Sellers’ Representative upon written notice if the Definitive Documentation has not been executed by July 31, 2026 (the “Drop Dead Date”), provided that the right to terminate under this clause (b) shall not be available to any party whose material breach of this LOI has been the primary cause of such failure; the Drop Dead Date may be extended by mutual written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hanging="31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the Sellers’ Representative upon written notice if the other party has materially breached any binding provision of this LOI and such breach is not cured within ten (10) business days of written notice thereof; and</w:t>
      </w:r>
    </w:p>
    <w:p>
      <w:pPr>
        <w:spacing w:after="0" w:line="161" w:lineRule="exact"/>
        <w:rPr>
          <w:rFonts w:ascii="Times New Roman" w:cs="Times New Roman" w:eastAsia="Times New Roman" w:hAnsi="Times New Roman"/>
          <w:sz w:val="18"/>
          <w:szCs w:val="18"/>
          <w:color w:val="auto"/>
        </w:rPr>
      </w:pPr>
    </w:p>
    <w:p>
      <w:pPr>
        <w:ind w:left="660" w:hanging="315"/>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upon written notice delivered on or before the date that is thirty (30) days after the date of this LOI if the results of Buyer’s due diligence are not reasonably satisfactory to Buyer.</w:t>
      </w:r>
    </w:p>
    <w:p>
      <w:pPr>
        <w:spacing w:after="0" w:line="158"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13.2 Survival. </w:t>
      </w:r>
      <w:r>
        <w:rPr>
          <w:rFonts w:ascii="Times New Roman" w:cs="Times New Roman" w:eastAsia="Times New Roman" w:hAnsi="Times New Roman"/>
          <w:sz w:val="18"/>
          <w:szCs w:val="18"/>
          <w:color w:val="auto"/>
        </w:rPr>
        <w:t>Sections 12, 13, 14, 15, 16, 17, and 18 shall survive the termination of this LOI in accordance with their terms. Termination of this LOI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relieve any party from liability for any willful breach hereof prior to such termination.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Expenses</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Except as expressly provided in this LOI or the Definitive Documentation, each party shall bear its own costs and expenses (including fees and expenses of its legal, accounting, tax, and financial advisors) incurred in connection with this LOI, the negotiation of the Definitive Documentation, and the Transaction, whether or not the Transaction is consummated.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Confidentiality</w:t>
      </w:r>
    </w:p>
    <w:p>
      <w:pPr>
        <w:spacing w:after="0" w:line="225"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15.1 Confidentiality. </w:t>
      </w:r>
      <w:r>
        <w:rPr>
          <w:rFonts w:ascii="Times New Roman" w:cs="Times New Roman" w:eastAsia="Times New Roman" w:hAnsi="Times New Roman"/>
          <w:sz w:val="18"/>
          <w:szCs w:val="18"/>
          <w:color w:val="auto"/>
        </w:rPr>
        <w:t>To the extent the parties have entered into a separate written Confidentiality / Non-Disclosure Agreement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(the “Confidentiality Agreement”), the terms thereof are incorporated herein by reference and shall remain in full force and effect. In addition, and whether or not a separate Confidentiality Agreement exists, each party (the “Receiving Party”) shall, and shall cause its Representatives to: (a) hold in strict confidence all non-public information furnished to it by or on behalf of the other party (the “Disclosing Party”) in connection with this LOI and the Transaction, together with the existence and terms of this LOI and the fact that discussions or negotiations are taking place (collectively, “Confidential Information”); (b) use Confidential Information solely for the purpose of evaluating, negotiating, and consummating the Transaction; and (c) not disclose Confidential Information to any person other than its Representatives who have a need to know such information for such purpose and who are informed of, and agree to be bound by, the confidential nature thereof (the Receiving Party remaining responsible for any breach by its Representatives). Confidential Information does not include information that (i) is or becomes generally available to the public other than as a result of a breach of this Section 15 or the Confidentiality Agreement, (ii) was lawfully in the Receiving Party’s possession on a non-confidential basis prior to disclosure by the Disclosing Party, (iii) becomes available to the Receiving Party on a non-confidential basis from a source not known to be bound by a confidentiality obligation, or (iv) is independently developed without use of or reference to the Confidential Information. If the Receiving Party is required by applicable law, regulation, or legal process to disclose any Confidential Information, it shall, to the extent legally permitted, provide the Disclosing Party with prompt prior written notice so that the Disclosing Party may seek a protective order or other appropriate remedy. Nothing in this Section 15 shall restrict Buyer from making any disclosure that Buyer determines, after consultation with counsel, is required under the federal securities laws or Nasdaq rules (including the Announcement contemplated by Section 12).</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ind w:lef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15.2 Material Non-Public Information; Trading Restriction. </w:t>
      </w:r>
      <w:r>
        <w:rPr>
          <w:rFonts w:ascii="Times New Roman" w:cs="Times New Roman" w:eastAsia="Times New Roman" w:hAnsi="Times New Roman"/>
          <w:sz w:val="18"/>
          <w:szCs w:val="18"/>
          <w:color w:val="auto"/>
        </w:rPr>
        <w:t>Each of the Sellers and the Company acknowledges that Buyer is a public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whose common stock is listed on The Nasdaq Global Market, that Confidential Information regarding Buyer and the Transaction may constitute material non-public information (“MNPI”) within the meaning of the federal securities laws, and that the United States securities laws (including Section 10(b) of the Securities Exchange Act of 1934, as amended, and Rule 10b-5 thereunder) prohibit any person in possession of MNPI concerning an issuer from purchasing or selling securities of such issuer, or from communicating such information to any other person under circumstances in which it is reasonably foreseeable that such person is likely to purchase or sell such securities, until such information has been publicly disclosed or is no longer material. Accordingly, from the date hereof until the earlier of (a) the public disclosure of all MNPI relating to the Transaction (including through the Announcement) and (b) the date such information otherwise ceases to be material, each of the Sellers and the Company shall not, and shall cause its respective Representatives not to, directly or indirectly, (i) purchase, sell, or otherwise transact in any securities of Buyer (including the Common Stock and any derivative securities), or (ii) communicate any MNPI concerning Buyer to any other person who may trade in such securities on the basis thereof, in each case in violation of applicable securities laws. The restrictions in this Section 15.2 are in addition to, and do not limit, any obligations of the Sellers, the Company, or their Representatives under applicable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Governing Law; Dispute Resolution</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This LOI shall be governed by, and construed in accordance with, the laws of the State of Delaware, without giving effect to its conflict-of-laws principles. Any dispute arising out of or relating to this LOI shall be finally resolved by binding arbitration administered by the American Arbitration Association under its Commercial Arbitration Rules, with the seat of arbitration in Wilmington, Delaware. Notwithstanding the foregoing, any party may seek injunctive or equitable relief in any court of competent jurisdiction to enforce the binding provisions of this LOI (including Section 9) or to preserve the status quo pending resolution of any arbitration.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Binding Nature; Framework</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parties hereby agree on, and commit to, the principal terms of the Transaction as set forth in Sections 1 through 7, and each party undertakes to negotiate the Definitive Documentation in good faith on the basis of, and consistent with, those principal terms; however, the obligation of the parties to consummate the Transaction is subject in all respects to the execution and delivery of the Definitive Documentation and the satisfaction (or waiver, where permitted) of the conditions precedent set forth in Section 6 and in the Definitive Documentation. Sections 8 through 18 (collectively, the “</w:t>
      </w:r>
      <w:r>
        <w:rPr>
          <w:rFonts w:ascii="Times New Roman" w:cs="Times New Roman" w:eastAsia="Times New Roman" w:hAnsi="Times New Roman"/>
          <w:sz w:val="18"/>
          <w:szCs w:val="18"/>
          <w:b w:val="1"/>
          <w:bCs w:val="1"/>
          <w:color w:val="auto"/>
        </w:rPr>
        <w:t>Binding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w:t>
      </w:r>
      <w:r>
        <w:rPr>
          <w:rFonts w:ascii="Times New Roman" w:cs="Times New Roman" w:eastAsia="Times New Roman" w:hAnsi="Times New Roman"/>
          <w:sz w:val="18"/>
          <w:szCs w:val="18"/>
          <w:color w:val="auto"/>
        </w:rPr>
        <w:t>”) are intended to be, and upon execution of this LOI by Buyer and the Sellers shall be, the legally binding and enforceable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Miscellaneous</w:t>
      </w:r>
    </w:p>
    <w:p>
      <w:pPr>
        <w:spacing w:after="0" w:line="225"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18.1 Entire Agreement. </w:t>
      </w:r>
      <w:r>
        <w:rPr>
          <w:rFonts w:ascii="Times New Roman" w:cs="Times New Roman" w:eastAsia="Times New Roman" w:hAnsi="Times New Roman"/>
          <w:sz w:val="18"/>
          <w:szCs w:val="18"/>
          <w:color w:val="auto"/>
        </w:rPr>
        <w:t>This LOI, together with the Confidentiality Agreement, constitutes the entire agreement of the parties with respect to the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hereof and supersedes all prior oral and written agreements, negotiations, term sheets, and understandings with respect thereto (including the indicative term sheet between Buyer and the Company); provided, that to the extent of any conflict between this LOI and any prior term sheet, this LOI shall control.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18.2 Amendment; Assignment. </w:t>
      </w:r>
      <w:r>
        <w:rPr>
          <w:rFonts w:ascii="Times New Roman" w:cs="Times New Roman" w:eastAsia="Times New Roman" w:hAnsi="Times New Roman"/>
          <w:sz w:val="18"/>
          <w:szCs w:val="18"/>
          <w:color w:val="auto"/>
        </w:rPr>
        <w:t>This LOI may be amended, modified, or waived only by a written instrument signed by Buyer and the Sellers’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 (acting on behalf of the Sellers). No party may assign this LOI without the prior written consent of the other parties; provided, that Buyer may assign its rights and obligations hereunder to a wholly-owned subsidiary of Buyer, with Buyer remaining primarily liable.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18.3 Counterparts; General. </w:t>
      </w:r>
      <w:r>
        <w:rPr>
          <w:rFonts w:ascii="Times New Roman" w:cs="Times New Roman" w:eastAsia="Times New Roman" w:hAnsi="Times New Roman"/>
          <w:sz w:val="18"/>
          <w:szCs w:val="18"/>
          <w:color w:val="auto"/>
        </w:rPr>
        <w:t>This LOI may be executed in any number of counterparts, each of which shall be deemed an original; signatures delivered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facsimile or electronic means (including .pdf or DocuSign) shall be deemed originals. This LOI is for the sole benefit of the parties and their respective successors and permitted assigns. If any provision of this LOI is held invalid, illegal, or unenforceable, the remaining provisions shall remain in full force and effect, and the parties shall negotiate in good faith a substitute provision that reflects, as closely as possible, the parties’ original intent.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12" w:name="page13"/>
    <w:bookmarkEnd w:id="12"/>
    <w:p>
      <w:pPr>
        <w:ind w:left="20"/>
        <w:spacing w:after="0" w:line="282" w:lineRule="auto"/>
        <w:rPr>
          <w:sz w:val="20"/>
          <w:szCs w:val="20"/>
          <w:color w:val="auto"/>
        </w:rPr>
      </w:pPr>
      <w:r>
        <w:rPr>
          <w:rFonts w:ascii="Times New Roman" w:cs="Times New Roman" w:eastAsia="Times New Roman" w:hAnsi="Times New Roman"/>
          <w:sz w:val="18"/>
          <w:szCs w:val="18"/>
          <w:color w:val="auto"/>
        </w:rPr>
        <w:t>If the foregoing accurately reflects our mutual agreement, please so indicate by executing this Letter of Intent in the space provided below, whereupon this Letter of Intent shall constitute a binding agreement among the parties as of the date first written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 SQUARED INC.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PARADOX DATA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Halabu</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Armand Nannicola</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Halabu</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Armand Nannicola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MGMBR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Binding Letter of Intent – Z Squared Inc. / Paradox Data LLC – 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Z Squared, Inc. to Acquire Majority Interest in Paradox Data and Its Union County Campus, a Next-Generation Data Center Development Targeting Up to 150 MW of Firm Power</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FT. LAUDERDALE — June 25, 2026 — </w:t>
      </w:r>
      <w:r>
        <w:rPr>
          <w:rFonts w:ascii="Times New Roman" w:cs="Times New Roman" w:eastAsia="Times New Roman" w:hAnsi="Times New Roman"/>
          <w:sz w:val="18"/>
          <w:szCs w:val="18"/>
          <w:color w:val="auto"/>
        </w:rPr>
        <w:t>Z Squared, Inc. (Nasdaq: ZSQR) (the “Company”), a digital infrastructure company expanding into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today announced that it has entered into a binding letter of intent to acquire majority membership interest in Paradox Data LLC (“Paradox Data” or “Paradox”), a digital infrastructure company specializing in high-density, immersion-cooled compute for data-intensive workloads. Paradox’s flagship development asset is the Union County Campus in El Dorado, Arkansas, a large-scale, next-generation data center site.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“Energized power and high-density immersion cooling are two of the scarcest and most valuable assets in AI infrastructure today, and this transaction would add both, anchored by a campus engineered for firm, large-scale power,” said David Halabu, Chief Executive Officer of Z Squared. “Paradox represents exactly the kind of asset that advances our strategy . As we build this company site by site, Paradox is a prime representation of the opportunities we are seeking.”</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potential acquisition represents a significant step in the Company’s expansion into AI infrastructure, adding energized power, developable land, and differentiated immersion cooling technology at a time when grid access, interconnection, and power availability have become critical constraints for AI and high-performance compute deployments. Immersion and liquid cooling systems are increasingly central to high-density AI and HPC environments, enabling higher rack densities and improved energy efficiency for next-generation compute.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Overview</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transaction is structured entirely in newly designated Series D Convertible Preferred Stock, with no cash consideration and no debt financing. Total consideration consists of Series D Convertible Preferred Stock with a $5 million aggregate initial liquidation preference, issued to the sellers pro rata in accordance with their respective ownership of the interests sold. Paradox will continue as a going concern with Z Squared as its majority member.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binding letter of intent, the assets and rights to be vested in Paradox at closing include its technology, data, and intellectual property; an approximately ten-acre land parcel under a binding purchase contract; and approximately eight megawatts (“MW”) of fully operational, energized power capacity. The binding letter of intent further establishes a post-closing milestone structure under which the Company intends to pursue acceptance of an interconnection request for up to 50 MW of utility power.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subject to the negotiation and execution of definitive documentation, completion of due diligence, receipt of required consents and approvals, and other customary closing conditions, including any stockholder approval required under applicable Nasdaq rules. There can be no assurance that the transaction will close on the terms described or at all.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Union County Campus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Union County Campus in El Dorado, Arkansas is the Company’s next development target: a large-scale, next-generation data center site that pairs an on-grid utility connection with on-site, behind-the-meter power generation. The site today has an 8 MW live on-grid utility connection, and the Company intends to develop a behind-the-meter generation campus designed to deliver up to 150 MW of continuous, industrial-grade firm power. Spanning up to 170 acres, the site is M-1 zoned and permitted, and sits within a pro-development jurisdiction where much of the infrastructure required to execute is already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deploy a hybrid strategy by combining the on-grid utility connection with natural gas generation using industrial turbines to deliver firm, non-intermittent power directly to the compute load. Fuel delivery is anchored by two pipelines with a combined capacity of 40,000 dekatherms per day through Energy Gas Transfer transmission infrastructure, sufficient to support in excess of 150 MW of on-site power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attributes of the site include:</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utility service from Entergy Arkansas and Energy Gas Transfer Utilities.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Union Pacific rail access anchoring the site’s physical logistics profile.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fiber buildout delivering dedicated fiber of up to 400 Gbps, with AT&amp;T Fiber, Lumen, and Optimum providing redundant, carrier-diverse connectivity for the low-latency, high-throughput demands of AI compute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 combination of economic incentives, including Arkansas Enterprise Zone designations tied to job creation and capital investment.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of the campus to its full capacity is a forward-looking objective dependent on, among other things, completion of the transaction, permitting, equipment procurement, capital deployment, and execution; there can be no assurance as to the timing or amount of generation capacity that will be brought online.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 Squared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Z Squared, Inc. (Nasdaq: ZSQR)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 listed on the Nasdaq Global Market in April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visit www.zsquaredinc.com.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 ZSQR@mzgroup.us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that are subject to the safe harbor created by the Private Securities Litigation Reform Act of 1995. All statements other than statements of historical fact contained in this press release are forward-looking statements. In some cases, you can identify forward-looking statements by terms such as “may,” “will,” “should,” “expects,” “plans,” “anticipates,” “intends,” “targets,” “projects,” “believes,” “estimates,” “potential,” or “continue,” or the negative of these terms or other comparable terminology. Forward-looking statements in this press release include, among others, statements regarding the proposed acquisition of a majority membership interest in Paradox Data and the anticipated benefits thereof; the structure, terms, and consideration of the proposed transaction, including the Series D Convertible Preferred Stock; the assets and rights expected to be vested in Paradox Data at closing; the anticipated availability and amount of energized power and interconnection capacity, including the contemplated interconnection request for up to 50 MW of utility power; the development of the Union County Campus and its anticipated power generation capacity of up to 150 MW of firm power; the Company’s “acquire-and-convert” strategy and its expansion into AI infrastructure, data center development, and power generation; and the Company’s plans, objectives, and expectations for future operations. These forward-looking statements are based on the Company’s current expectations and assumptions and are subject to known and unknown risks and uncertainties that could cause actual results to differ materially from those expressed or implied.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among others: the risk that the proposed transaction may not be completed on the terms described, or at all, including the risk that the parties may not negotiate and execute definitive documentation, that due diligence may not be completed satisfactorily, or that required consents, approvals, or stockholder approval under applicable Nasdaq rules may not be obtained; the risk that the assets, power capacity, interconnection rights, zoning, permitting, fiber, rail access, fuel transportation capacity, and economic incentives described herein may differ from the Company’s current expectations or may not be available on the anticipated timing or terms, or at all; the substantial capital, permitting, equipment procurement, and execution requirements associated with developing the Union County Campus and bringing generation capacity online; the Company’s limited operating history in AI infrastructure, data center development, and power generation, none of which currently generates revenue for the Company; the Company’s current dependence on Dogecoin and Litecoin mining and the volatility of digital asset prices, including the risk that mining operations are uneconomic at prevailing prices; the Company’s ability to continue as a going concern and to access capital on acceptable terms; risks relating to the Company’s outstanding and to-be-issued preferred stock and the dilutive effect of conversion; risks associated with the digital asset mining and computing infrastructure industries, including competition, cyclicality, technological change, and concentration; the regulatory environment applicable to cryptocurrency mining, computing infrastructure, and power generation in the United States; the Company’s ability to maintain the listing of its Common Stock on the Nasdaq Global Market; and the other risks and uncertainties described in the Company’s filings with the Securities and Exchange Commission, including its Registration Statement on Form S-4 (File No. 333-288329), Registration Statement on Form S-1 (File No. 333-284230), its Annual Report on Form 10-K, its Quarterly Reports on Form 10-Q, and its Current Reports on Form 8-K. 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press release. Except to the extent required by applicable law or regulation, the Company undertakes no obligation to update or revise any forward-looking statement, whether as a result of new information, future events, or otherwise.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decimal"/>
      <w:start w:val="1"/>
    </w:lvl>
    <w:lvl w:ilvl="1">
      <w:lvlJc w:val="left"/>
      <w:lvlText w:val="(%2)"/>
      <w:numFmt w:val="lowerLetter"/>
      <w:start w:val="3"/>
    </w:lvl>
  </w:abstractNum>
  <w:abstractNum w:abstractNumId="3">
    <w:nsid w:val="2EB141F2"/>
    <w:multiLevelType w:val="hybridMultilevel"/>
    <w:lvl w:ilvl="0">
      <w:lvlJc w:val="left"/>
      <w:lvlText w:val="%1."/>
      <w:numFmt w:val="decimal"/>
      <w:start w:val="5"/>
    </w:lvl>
    <w:lvl w:ilvl="1">
      <w:lvlJc w:val="left"/>
      <w:lvlText w:val="%2"/>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6"/>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2026-06-26T05:32:00Z</dcterms:created>
  <dcterms:modified xsi:type="dcterms:W3CDTF">2026-06-26T05:32:00Z</dcterms:modified>
</cp:coreProperties>
</file>