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zsquareds3asr061826.htm"/>
      <w:bookmarkStart w:id="1" w:name="kszsquareds3asr061826"/>
      <w:bookmarkEnd w:id="0"/>
      <w:bookmarkEnd w:id="1"/>
      <w:r>
        <w:rPr>
          <w:rFonts w:ascii="Times New Roman;Times;Serif" w:hAnsi="Times New Roman;Times;Serif"/>
          <w:b/>
          <w:i w:val="false"/>
          <w:caps w:val="false"/>
          <w:smallCaps w:val="false"/>
          <w:sz w:val="20"/>
        </w:rPr>
        <w:t>As filed with the Securities and Exchange Commission on July 6, 2026</w:t>
      </w:r>
    </w:p>
    <w:p>
      <w:pPr>
        <w:pStyle w:val="TextBody"/>
        <w:bidi w:val="0"/>
        <w:ind w:left="7"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ind w:left="7"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ind w:left="7"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S-3</w:t>
      </w:r>
    </w:p>
    <w:p>
      <w:pPr>
        <w:pStyle w:val="TextBody"/>
        <w:bidi w:val="0"/>
        <w:ind w:left="7"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ind w:left="7"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ind w:left="7"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Z Squared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both"/>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98-1465952</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 South Andrews Ave., Ste #700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Lauderdale, FL 33301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 400-9994 </w:t>
      </w:r>
    </w:p>
    <w:p>
      <w:pPr>
        <w:pStyle w:val="TextBody"/>
        <w:bidi w:val="0"/>
        <w:ind w:left="7"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the registrant’s principal executive offices)</w:t>
      </w:r>
    </w:p>
    <w:p>
      <w:pPr>
        <w:pStyle w:val="TextBody"/>
        <w:shd w:fill="FFFFFF" w:val="clear"/>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Halabu</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 South Andrews Ave., Ste #700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Lauderdale, FL 33301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 400-9994 </w:t>
      </w:r>
    </w:p>
    <w:p>
      <w:pPr>
        <w:pStyle w:val="TextBody"/>
        <w:bidi w:val="0"/>
        <w:ind w:left="7"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ind w:left="7"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Morris C. Zarif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Zarif Law Group P.C.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808 Springwood Avenue, Suite 110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Asbury Park, NJ 07711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Phone: (732) 755-0146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time to time after this Registration Statement becomes effective.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of 1933, check the following box and list the Securities Act registration statement number of the earlier effective registration statement for the same offering. ☐</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p>
      <w:pPr>
        <w:pStyle w:val="TextBody"/>
        <w:bidi w:val="0"/>
        <w:jc w:val="both"/>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1835"/>
        <w:gridCol w:w="230"/>
        <w:gridCol w:w="2300"/>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bl>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left"/>
        <w:rPr>
          <w:bdr w:val="single" w:sz="8" w:space="1" w:color="000000"/>
        </w:rPr>
      </w:pPr>
      <w:r>
        <w:rPr>
          <w:bdr w:val="single" w:sz="8" w:space="1" w:color="000000"/>
        </w:rPr>
        <w:t> </w:t>
      </w:r>
    </w:p>
    <w:p>
      <w:pPr>
        <w:pStyle w:val="TextBody"/>
        <w:bidi w:val="0"/>
        <w:ind w:left="7"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7"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contains:</w:t>
      </w:r>
    </w:p>
    <w:p>
      <w:pPr>
        <w:pStyle w:val="TextBody"/>
        <w:shd w:fill="FFFFFF" w:val="clear"/>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base prospectus, which covers the offering, issuance and sale of the registrant’s common stock, preferred stock, debt securities, units, rights and/or warrants from time to time in one or more offerings; and</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sales agreement prospectus, which covers the offering, issuance and sale by us of up to a maximum aggregate offering price of $300,000,000 of the registrant’s Common Stock that may be issued and sold from time to time under a sales agreement with Roth Capital Partners, LLC.</w:t>
            </w:r>
          </w:p>
        </w:tc>
      </w:tr>
    </w:tbl>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prospectus immediately follows this explanatory note. The specific terms of any other securities to be offered pursuant to the base prospectus, other than the securities to be issued and sold pursuant to the sales agreement, will be specified in one or more prospectus supplements to the base prospectus. The sales agreement prospectus immediately follows the base prospectus. The $300,000,000 of Common Stock that may be offered, issued and sold under the sales agreement prospectus is included in the $300,000,000 of securities that may be offered, issued and sold by us under the base prospectus. Upon termination of the sales agreement with Roth Capital Partners, LLC (the “Sales Agreement”), any portion of the $300,000,000 included in the sales agreement prospectus that is not sold pursuant to the Sales Agreement will be available for sale in other offerings pursuant to the base prospectus and a corresponding prospectus supplement, and if no shares are sold under the Sales Agreement, the full $300,00,000 of securities may be sold in other offerings pursuant to the base prospectus and a corresponding prospectus supplement.</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Z Squared Inc.</w:t>
      </w:r>
      <w:r>
        <w:rPr>
          <w:rFonts w:ascii="Times New Roman;Times;Serif" w:hAnsi="Times New Roman;Times;Serif"/>
          <w:b w:val="false"/>
          <w:i w:val="false"/>
          <w:caps w:val="false"/>
          <w:smallCaps w:val="false"/>
          <w:sz w:val="2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ind w:left="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ind w:left="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ind w:left="7"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and sell the securities described in this prospectus separately or together in any combination, in one or more classes or series, in amounts, at prices and on terms that we will determine at the time of the offering. We may also offer Common Stock, par value $0.0001 per share (the “Common Stock”), or preferred stock upon conversion of or exchange for the debt securities; shares of Common Stock upon conversion of or exchange for the preferred stock; Common Stock, preferred stock or debt securities upon the exercise of warrants, rights or performance of purchase contracts; or any combination of these securities upon the performance of purchase contracts.</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We may provide specific terms of securities to be offered in one or more supplements to this prospectus. We may also provide a specific plan of distribution for any securities to be offered in a prospectus supplement. Prospectus supplements may also add, update or change information in this prospectus. You should carefully read this prospectus and the applicable prospectus supplement, together with any documents incorporated by reference herein, before you invest in our securities.</w:t>
      </w:r>
    </w:p>
    <w:p>
      <w:pPr>
        <w:pStyle w:val="TextBody"/>
        <w:bidi w:val="0"/>
        <w:ind w:left="7" w:right="0" w:hanging="0"/>
        <w:jc w:val="both"/>
        <w:rPr>
          <w:caps w:val="false"/>
          <w:smallCaps w:val="false"/>
        </w:rPr>
      </w:pPr>
      <w:r>
        <w:rPr>
          <w:caps w:val="false"/>
          <w:smallCaps w:val="false"/>
        </w:rPr>
        <w:t> </w:t>
      </w:r>
    </w:p>
    <w:p>
      <w:pPr>
        <w:pStyle w:val="TextBody"/>
        <w:bidi w:val="0"/>
        <w:spacing w:before="0" w:after="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and trades under the symbol “ZSQR”. The last reported sale price of our Common Stock on the Nasdaq Global Market on July 2, 2026, was $10.99 per share. Each prospectus supplement will indicate if the securities to be offered thereby will be listed on any securities exchange.</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any of our securities involves a high degree of risk. Please read carefully the section entitled “Risk Factors” on page 6 of this prospectus, the “Risk Factors” section contained in the applicable prospectus supplement and the information included and incorporated by reference in this prospectus.</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ind w:left="7"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6, 2026</w:t>
      </w:r>
    </w:p>
    <w:p>
      <w:pPr>
        <w:pStyle w:val="TextBody"/>
        <w:bidi w:val="0"/>
        <w:ind w:left="7" w:right="0" w:hanging="0"/>
        <w:jc w:val="both"/>
        <w:rPr>
          <w:caps w:val="false"/>
          <w:smallCaps w:val="false"/>
        </w:rPr>
      </w:pPr>
      <w:r>
        <w:rPr>
          <w:caps w:val="false"/>
          <w:smallCaps w:val="false"/>
        </w:rPr>
        <w:t> </w:t>
      </w:r>
    </w:p>
    <w:p>
      <w:pPr>
        <w:pStyle w:val="TextBody"/>
        <w:bidi w:val="0"/>
        <w:spacing w:before="0" w:after="0"/>
        <w:ind w:left="7"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7"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TABLE OF CONTENTS</w:t>
      </w:r>
    </w:p>
    <w:p>
      <w:pPr>
        <w:pStyle w:val="TextBody"/>
        <w:bidi w:val="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8885"/>
        <w:gridCol w:w="60"/>
        <w:gridCol w:w="455"/>
      </w:tblGrid>
      <w:tr>
        <w:trPr/>
        <w:tc>
          <w:tcPr>
            <w:tcW w:w="88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885" w:type="dxa"/>
            <w:tcBorders/>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885" w:type="dxa"/>
            <w:tcBorders/>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885" w:type="dxa"/>
            <w:tcBorders/>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INCORPORATION OF CERTAIN INFORMATION BY REFERENCE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885" w:type="dxa"/>
            <w:tcBorders/>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SPECIAL NOTE REGARDING FORWARD-LOOKING STATEMENTS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885" w:type="dxa"/>
            <w:tcBorders/>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Z SQUARED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885" w:type="dxa"/>
            <w:tcBorders/>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RISK FACTORS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885" w:type="dxa"/>
            <w:tcBorders/>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USE OF PROCEEDS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8885" w:type="dxa"/>
            <w:tcBorders/>
            <w:vAlign w:val="center"/>
          </w:tcPr>
          <w:p>
            <w:pPr>
              <w:pStyle w:val="TableContents"/>
              <w:bidi w:val="0"/>
              <w:spacing w:before="0" w:after="283"/>
              <w:jc w:val="left"/>
              <w:rPr/>
            </w:pPr>
            <w:hyperlink w:anchor="j_001">
              <w:r>
                <w:rPr>
                  <w:rStyle w:val="InternetLink"/>
                  <w:rFonts w:ascii="Times New Roman;Times;Serif" w:hAnsi="Times New Roman;Times;Serif"/>
                  <w:b w:val="false"/>
                  <w:i w:val="false"/>
                  <w:caps w:val="false"/>
                  <w:smallCaps w:val="false"/>
                  <w:sz w:val="20"/>
                </w:rPr>
                <w:t>THE SECURITIES THAT WE MAY OFFER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8885" w:type="dxa"/>
            <w:tcBorders/>
            <w:vAlign w:val="center"/>
          </w:tcPr>
          <w:p>
            <w:pPr>
              <w:pStyle w:val="TableContents"/>
              <w:bidi w:val="0"/>
              <w:spacing w:before="0" w:after="283"/>
              <w:jc w:val="left"/>
              <w:rPr/>
            </w:pPr>
            <w:hyperlink w:anchor="j_002">
              <w:r>
                <w:rPr>
                  <w:rStyle w:val="InternetLink"/>
                  <w:rFonts w:ascii="Times New Roman;Times;Serif" w:hAnsi="Times New Roman;Times;Serif"/>
                  <w:b w:val="false"/>
                  <w:i w:val="false"/>
                  <w:caps w:val="false"/>
                  <w:smallCaps w:val="false"/>
                  <w:sz w:val="20"/>
                </w:rPr>
                <w:t>DESCRIPTION OF CAPITAL STOCK</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8885" w:type="dxa"/>
            <w:tcBorders/>
            <w:vAlign w:val="center"/>
          </w:tcPr>
          <w:p>
            <w:pPr>
              <w:pStyle w:val="TableContents"/>
              <w:bidi w:val="0"/>
              <w:spacing w:before="0" w:after="0"/>
              <w:ind w:left="0" w:right="0" w:hanging="0"/>
              <w:jc w:val="left"/>
              <w:rPr/>
            </w:pPr>
            <w:hyperlink w:anchor="j_003">
              <w:r>
                <w:rPr>
                  <w:rStyle w:val="InternetLink"/>
                  <w:rFonts w:ascii="Times New Roman;Times;Serif" w:hAnsi="Times New Roman;Times;Serif"/>
                  <w:b w:val="false"/>
                  <w:i w:val="false"/>
                  <w:caps w:val="false"/>
                  <w:smallCaps w:val="false"/>
                  <w:sz w:val="20"/>
                </w:rPr>
                <w:t>DESCRIPTION OF DEBT SECURITIES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8885" w:type="dxa"/>
            <w:tcBorders/>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DESCRIPTION OF WARRANTS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8885" w:type="dxa"/>
            <w:tcBorders/>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DESCRIPTION OF RIGHTS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8885" w:type="dxa"/>
            <w:tcBorders/>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DESCRIPTION OF UNITS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8885" w:type="dxa"/>
            <w:tcBorders/>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PLAN OF DISTRIBUTION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8885" w:type="dxa"/>
            <w:tcBorders/>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MATTERS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8885" w:type="dxa"/>
            <w:tcBorders/>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EXPERTS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8885" w:type="dxa"/>
            <w:tcBorders/>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DISCLOSURE OF COMMISSION POSITION ON INDEMNIFICATION FOR SECURITIES ACT LIABILITIES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bl>
    <w:p>
      <w:pPr>
        <w:pStyle w:val="TextBody"/>
        <w:bidi w:val="0"/>
        <w:ind w:left="7" w:right="0" w:hanging="0"/>
        <w:jc w:val="both"/>
        <w:rPr>
          <w:caps w:val="false"/>
          <w:smallCaps w:val="false"/>
        </w:rPr>
      </w:pPr>
      <w:r>
        <w:rPr>
          <w:caps w:val="false"/>
          <w:smallCaps w:val="false"/>
        </w:rPr>
        <w:t> </w:t>
      </w:r>
    </w:p>
    <w:p>
      <w:pPr>
        <w:pStyle w:val="TextBody"/>
        <w:bidi w:val="0"/>
        <w:spacing w:before="0" w:after="0"/>
        <w:ind w:left="7"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3" w:name="a_001"/>
      <w:bookmarkEnd w:id="3"/>
      <w:r>
        <w:rPr>
          <w:rFonts w:ascii="Times New Roman;Times;Serif" w:hAnsi="Times New Roman;Times;Serif"/>
          <w:b/>
          <w:i w:val="false"/>
          <w:caps w:val="false"/>
          <w:smallCaps w:val="false"/>
          <w:sz w:val="20"/>
          <w:bdr w:val="single" w:sz="8" w:space="5" w:color="000000"/>
        </w:rPr>
        <w:t>ABOUT THIS PROSPECTUS</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This prospectus is part of an automatic shelf registration statement on Form S-3ASR that we filed with the Securities and Exchange Commission (the “SEC”), utilizing a “shelf” registration as a “well-known seasoned issuer” as defined in Rule 405 under the Securities Act of 1933, as amended (the “Securities Act”). Under this shelf registration process, we may, from time to time, sell any combination of the securities described in this prospectus in one or more offerings, and selling securityholders to be named in a supplement to this prospectus or in a post-effective amendment may from time to time offer and sell shares of our Common Stock..</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This prospectus provides a general description of the securities we may offer. Each time we or any selling securityholders offer and sell securities, we will, to the extent required, provide a prospectus supplement containing specific information about the terms of that offering, including, in the case of any resale by selling securityholders, the identities of the selling securityholders and the number of shares being offered. We may provide specific terms of securities to be offered in one or more supplements to this prospectus. We may also provide a specific plan of distribution for any securities to be offered in a prospectus supplement. Prospectus supplements may also add, update or change information in this prospectus. If the information varies between this prospectus and the accompanying prospectus supplement, you should rely on the information in the accompanying prospectus supplement.</w:t>
      </w:r>
    </w:p>
    <w:p>
      <w:pPr>
        <w:pStyle w:val="TextBody"/>
        <w:bidi w:val="0"/>
        <w:spacing w:before="0" w:after="0"/>
        <w:ind w:left="7"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Before purchasing any securities, you should carefully read both this prospectus and any prospectus supplement, together with the additional information described under the heading “Incorporation of Certain Information by Reference.” You should rely only on the information contained or incorporated by reference in this prospectus, any prospectus supplement and any free writing prospectus prepared by or on behalf of us or to which we have referred you. We have not authorized any other person to provide you with different information. If anyone provides you with different or inconsistent information, you should not rely on it. We take no responsibility for and can provide no assurance as to the reliability of, any other information that others may give you. You should assume that the information contained in this prospectus, any prospectus supplement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ind w:left="7"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This prospectus and any applicable prospectus supplement do not constitute an offer to sell or the solicitation of an offer to buy any securities other than the registered securities to which they relate. We may only offer to sell, and seek offers to buy, any securities in jurisdictions where offers and sales are permitted. We are not making offers to sell Common Stock or any other securities described in this prospectus in any jurisdiction in which an offer or solicitation is not authorized or in which we are not qualified to do so or to anyone to whom it is unlawful to make an offer or solicitation.</w:t>
      </w:r>
    </w:p>
    <w:p>
      <w:pPr>
        <w:pStyle w:val="TextBody"/>
        <w:bidi w:val="0"/>
        <w:ind w:left="7"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Unless otherwise expressly indicated or the context otherwise requires, we use the terms “Z Squared,” the “Company,” “we,” “us,” “our” or similar references to refer to Z Squared Inc. together with any subsidiaries.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4" w:name="a_002"/>
      <w:bookmarkEnd w:id="4"/>
      <w:r>
        <w:rPr>
          <w:rFonts w:ascii="Times New Roman;Times;Serif" w:hAnsi="Times New Roman;Times;Serif"/>
          <w:b/>
          <w:i w:val="false"/>
          <w:caps w:val="false"/>
          <w:smallCaps w:val="false"/>
          <w:sz w:val="20"/>
          <w:bdr w:val="single" w:sz="8" w:space="5" w:color="000000"/>
        </w:rPr>
        <w:t>WHERE YOU CAN FIND MORE INFORMATION</w:t>
      </w:r>
    </w:p>
    <w:p>
      <w:pPr>
        <w:pStyle w:val="TextBody"/>
        <w:bidi w:val="0"/>
        <w:ind w:left="7"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filed our registration statement on Form S-3 with the SEC under the Securities Act. We also file annual, quarterly and current reports, proxy statements and other information with the SEC. You can read and copy any document that we file with the SEC, including the registration statement and the exhibits to the registration statement, over the internet at the SEC’s web site at www.sec.gov.</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subject to the information reporting requirements of the Securities Exchange Act of 1934, as amended (the “Exchange Act”), and we are required to file reports, proxy statements and other information with the SEC. These reports, proxy statements, and other information are available for inspection and copying at the SEC’s website referred to above. These documents may also be accessed on our web site at https://ir.zsquaredinc.com/. Information contained on our website is not incorporated by reference into this prospectus and you should not consider information contained on our website to be part of this prospectus. Information contained on or accessible through our website is not a part of this prospectus, and the inclusion of our website address in this prospectus is an inactive textual reference only.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ind w:left="7"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This prospectus and any prospectus supplement are part of a registration statement filed with the SEC and do not contain all of the information in the registration statement. The full registration statement may be obtained from the SEC or us as indicated above. Other documents establishing the terms of the offered securities are filed as exhibits to the registration statement or will be filed through an amendment to our registration statement on Form S-3 or under cover of a Current Report on Form 8-K and incorporated into this prospectus by reference.</w:t>
      </w:r>
    </w:p>
    <w:p>
      <w:pPr>
        <w:pStyle w:val="TextBody"/>
        <w:bidi w:val="0"/>
        <w:ind w:left="7" w:right="0" w:hanging="0"/>
        <w:jc w:val="both"/>
        <w:rPr>
          <w:caps w:val="false"/>
          <w:smallCaps w:val="false"/>
          <w:bdr w:val="single" w:sz="8" w:space="5" w:color="000000"/>
        </w:rPr>
      </w:pPr>
      <w:r>
        <w:rPr>
          <w:caps w:val="false"/>
          <w:smallCaps w:val="false"/>
          <w:bdr w:val="single" w:sz="8" w:space="5" w:color="000000"/>
        </w:rPr>
        <w:t> </w:t>
      </w:r>
    </w:p>
    <w:p>
      <w:pPr>
        <w:pStyle w:val="TextBody"/>
        <w:bidi w:val="0"/>
        <w:ind w:left="7"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5" w:name="a_003"/>
      <w:bookmarkEnd w:id="5"/>
      <w:r>
        <w:rPr>
          <w:rFonts w:ascii="Times New Roman;Times;Serif" w:hAnsi="Times New Roman;Times;Serif"/>
          <w:b/>
          <w:i w:val="false"/>
          <w:caps w:val="false"/>
          <w:smallCaps w:val="false"/>
          <w:sz w:val="20"/>
          <w:bdr w:val="single" w:sz="8" w:space="5" w:color="000000"/>
        </w:rPr>
        <w:t>INCORPORATION OF CERTAIN INFORMATION BY REFERENCE</w:t>
      </w:r>
    </w:p>
    <w:p>
      <w:pPr>
        <w:pStyle w:val="TextBody"/>
        <w:bidi w:val="0"/>
        <w:ind w:left="7"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incorporate by reference in this prospectus the following information (other than, in each case, documents or information deemed to have been furnished and not filed in accordance with SEC rules):</w:t>
      </w:r>
    </w:p>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our Annual Report on </w:t>
            </w:r>
            <w:hyperlink r:id="rId2">
              <w:r>
                <w:rPr>
                  <w:rStyle w:val="InternetLink"/>
                  <w:rFonts w:ascii="Times New Roman;Times;Serif" w:hAnsi="Times New Roman;Times;Serif"/>
                  <w:sz w:val="20"/>
                </w:rPr>
                <w:t>Form 10-K</w:t>
              </w:r>
            </w:hyperlink>
            <w:r>
              <w:rPr>
                <w:rFonts w:ascii="Times New Roman;Times;Serif" w:hAnsi="Times New Roman;Times;Serif"/>
                <w:sz w:val="20"/>
              </w:rPr>
              <w:t> for the fiscal year ended December 31, 2025, filed with the SEC on March 19, 2026 (the “2025 Form 10-K”);</w:t>
            </w:r>
          </w:p>
        </w:tc>
      </w:tr>
    </w:tbl>
    <w:p>
      <w:pPr>
        <w:pStyle w:val="TextBody"/>
        <w:shd w:fill="FFFFFF" w:val="clear"/>
        <w:bidi w:val="0"/>
        <w:ind w:left="720" w:right="0" w:hanging="36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our Quarterly Report on </w:t>
            </w:r>
            <w:hyperlink r:id="rId3">
              <w:r>
                <w:rPr>
                  <w:rStyle w:val="InternetLink"/>
                  <w:rFonts w:ascii="Times New Roman;Times;Serif" w:hAnsi="Times New Roman;Times;Serif"/>
                  <w:sz w:val="20"/>
                </w:rPr>
                <w:t>Form 10-Q</w:t>
              </w:r>
            </w:hyperlink>
            <w:r>
              <w:rPr>
                <w:rFonts w:ascii="Times New Roman;Times;Serif" w:hAnsi="Times New Roman;Times;Serif"/>
                <w:sz w:val="20"/>
              </w:rPr>
              <w:t> for the quarterly period ended March 31, 2026, filed with the SEC on May 15, 2026 (the “Q1 2026 Form 10-Q”);</w:t>
            </w:r>
          </w:p>
        </w:tc>
      </w:tr>
    </w:tbl>
    <w:p>
      <w:pPr>
        <w:pStyle w:val="TextBody"/>
        <w:shd w:fill="FFFFFF" w:val="clear"/>
        <w:bidi w:val="0"/>
        <w:ind w:left="720" w:right="0" w:hanging="36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our Current Report on </w:t>
            </w:r>
            <w:hyperlink r:id="rId4">
              <w:r>
                <w:rPr>
                  <w:rStyle w:val="InternetLink"/>
                  <w:rFonts w:ascii="Times New Roman;Times;Serif" w:hAnsi="Times New Roman;Times;Serif"/>
                  <w:sz w:val="20"/>
                </w:rPr>
                <w:t>Form 8-K</w:t>
              </w:r>
            </w:hyperlink>
            <w:r>
              <w:rPr>
                <w:rFonts w:ascii="Times New Roman;Times;Serif" w:hAnsi="Times New Roman;Times;Serif"/>
                <w:sz w:val="20"/>
              </w:rPr>
              <w:t> filed with the SEC on April 30, 2026, and Amendment No. 1 to our Current Report on </w:t>
            </w:r>
            <w:hyperlink r:id="rId5">
              <w:r>
                <w:rPr>
                  <w:rStyle w:val="InternetLink"/>
                  <w:rFonts w:ascii="Times New Roman;Times;Serif" w:hAnsi="Times New Roman;Times;Serif"/>
                  <w:sz w:val="20"/>
                </w:rPr>
                <w:t>Form 8-K/A</w:t>
              </w:r>
            </w:hyperlink>
            <w:r>
              <w:rPr>
                <w:rFonts w:ascii="Times New Roman;Times;Serif" w:hAnsi="Times New Roman;Times;Serif"/>
                <w:sz w:val="20"/>
              </w:rPr>
              <w:t> filed with the SEC on June 1, 2026, in each case reporting the Business Combination and related transactions and including the description of our business, the audited consolidated financial statements of Z Squared OpCo Inc. as of and for the fiscal years ended December 31, 2025 and 2024 (together with the report of Stephano Slack LLC, including the going concern explanatory paragraph), the related management’s discussion and analysis, and the unaudited pro forma condensed combined financial information prepared in accordance with Article 11 of Regulation S-X giving effect to the Business Combination;</w:t>
            </w:r>
          </w:p>
        </w:tc>
      </w:tr>
    </w:tbl>
    <w:p>
      <w:pPr>
        <w:pStyle w:val="TextBody"/>
        <w:shd w:fill="FFFFFF" w:val="clear"/>
        <w:bidi w:val="0"/>
        <w:ind w:left="720" w:right="0" w:hanging="36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Current Reports on Form 8-K filed with the SEC on </w:t>
            </w:r>
            <w:hyperlink r:id="rId6">
              <w:r>
                <w:rPr>
                  <w:rStyle w:val="InternetLink"/>
                </w:rPr>
                <w:t>January 16, 2026</w:t>
              </w:r>
            </w:hyperlink>
            <w:r>
              <w:rPr/>
              <w:t>, </w:t>
            </w:r>
            <w:hyperlink r:id="rId7">
              <w:r>
                <w:rPr>
                  <w:rStyle w:val="InternetLink"/>
                </w:rPr>
                <w:t>February 4, 2026</w:t>
              </w:r>
            </w:hyperlink>
            <w:r>
              <w:rPr/>
              <w:t>, </w:t>
            </w:r>
            <w:hyperlink r:id="rId8">
              <w:r>
                <w:rPr>
                  <w:rStyle w:val="InternetLink"/>
                </w:rPr>
                <w:t>February 12, 2026</w:t>
              </w:r>
            </w:hyperlink>
            <w:r>
              <w:rPr/>
              <w:t>, </w:t>
            </w:r>
            <w:hyperlink r:id="rId9">
              <w:r>
                <w:rPr>
                  <w:rStyle w:val="InternetLink"/>
                </w:rPr>
                <w:t>April 8, 2026</w:t>
              </w:r>
            </w:hyperlink>
            <w:r>
              <w:rPr/>
              <w:t>, </w:t>
            </w:r>
            <w:hyperlink r:id="rId10">
              <w:r>
                <w:rPr>
                  <w:rStyle w:val="InternetLink"/>
                </w:rPr>
                <w:t>April 24, 2026</w:t>
              </w:r>
            </w:hyperlink>
            <w:r>
              <w:rPr/>
              <w:t>, </w:t>
            </w:r>
            <w:hyperlink r:id="rId11">
              <w:r>
                <w:rPr>
                  <w:rStyle w:val="InternetLink"/>
                </w:rPr>
                <w:t>April 28, 2026</w:t>
              </w:r>
            </w:hyperlink>
            <w:r>
              <w:rPr/>
              <w:t>, </w:t>
            </w:r>
            <w:hyperlink r:id="rId12">
              <w:r>
                <w:rPr>
                  <w:rStyle w:val="InternetLink"/>
                </w:rPr>
                <w:t>May 1, 2026</w:t>
              </w:r>
            </w:hyperlink>
            <w:r>
              <w:rPr/>
              <w:t>, </w:t>
            </w:r>
            <w:hyperlink r:id="rId13">
              <w:r>
                <w:rPr>
                  <w:rStyle w:val="InternetLink"/>
                </w:rPr>
                <w:t>May 21, 2026</w:t>
              </w:r>
            </w:hyperlink>
            <w:r>
              <w:rPr/>
              <w:t>, </w:t>
            </w:r>
            <w:hyperlink r:id="rId14">
              <w:r>
                <w:rPr>
                  <w:rStyle w:val="InternetLink"/>
                </w:rPr>
                <w:t>May 22, 2026</w:t>
              </w:r>
            </w:hyperlink>
            <w:r>
              <w:rPr/>
              <w:t xml:space="preserve">, </w:t>
            </w:r>
            <w:hyperlink r:id="rId15">
              <w:r>
                <w:rPr>
                  <w:rStyle w:val="InternetLink"/>
                </w:rPr>
                <w:t>June 4, 2026</w:t>
              </w:r>
            </w:hyperlink>
            <w:r>
              <w:rPr/>
              <w:t xml:space="preserve">, </w:t>
            </w:r>
            <w:hyperlink r:id="rId16">
              <w:r>
                <w:rPr>
                  <w:rStyle w:val="InternetLink"/>
                </w:rPr>
                <w:t>June 26, 2026</w:t>
              </w:r>
            </w:hyperlink>
            <w:r>
              <w:rPr/>
              <w:t xml:space="preserve">, </w:t>
            </w:r>
            <w:hyperlink r:id="rId17">
              <w:r>
                <w:rPr>
                  <w:rStyle w:val="InternetLink"/>
                </w:rPr>
                <w:t>June 29, 2026</w:t>
              </w:r>
            </w:hyperlink>
            <w:r>
              <w:rPr/>
              <w:t xml:space="preserve"> and </w:t>
            </w:r>
            <w:hyperlink r:id="rId18">
              <w:r>
                <w:rPr>
                  <w:rStyle w:val="InternetLink"/>
                </w:rPr>
                <w:t>June 30, 2026</w:t>
              </w:r>
            </w:hyperlink>
            <w:r>
              <w:rPr/>
              <w:t xml:space="preserve"> (excluding, in each case, any information furnished under Item 2.02 or Item 7.01 and any related exhibits furnished under Item 9.01); and</w:t>
            </w:r>
          </w:p>
        </w:tc>
      </w:tr>
    </w:tbl>
    <w:p>
      <w:pPr>
        <w:pStyle w:val="TextBody"/>
        <w:shd w:fill="FFFFFF" w:val="clear"/>
        <w:bidi w:val="0"/>
        <w:ind w:left="720" w:right="0" w:hanging="36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the description of our securities set forth under the heading “</w:t>
            </w:r>
            <w:r>
              <w:fldChar w:fldCharType="begin"/>
            </w:r>
            <w:r>
              <w:rPr>
                <w:rStyle w:val="InternetLink"/>
                <w:sz w:val="20"/>
                <w:rFonts w:ascii="Times New Roman;Times;Serif" w:hAnsi="Times New Roman;Times;Serif"/>
              </w:rPr>
              <w:instrText xml:space="preserve"> HYPERLINK "http://www.sec.gov/Archives/edgar/data/1759186/000168316826003388/zsquared_8k.htm" \l "a_011"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Description of Capital Stock</w:t>
            </w:r>
            <w:r>
              <w:rPr>
                <w:rStyle w:val="InternetLink"/>
                <w:sz w:val="20"/>
                <w:rFonts w:ascii="Times New Roman;Times;Serif" w:hAnsi="Times New Roman;Times;Serif"/>
              </w:rPr>
              <w:fldChar w:fldCharType="end"/>
            </w:r>
            <w:r>
              <w:rPr>
                <w:rFonts w:ascii="Times New Roman;Times;Serif" w:hAnsi="Times New Roman;Times;Serif"/>
                <w:sz w:val="20"/>
              </w:rPr>
              <w:t>” in our Current Report on </w:t>
            </w:r>
            <w:hyperlink r:id="rId19">
              <w:r>
                <w:rPr>
                  <w:rStyle w:val="InternetLink"/>
                  <w:rFonts w:ascii="Times New Roman;Times;Serif" w:hAnsi="Times New Roman;Times;Serif"/>
                  <w:sz w:val="20"/>
                </w:rPr>
                <w:t>Form 8-K</w:t>
              </w:r>
            </w:hyperlink>
            <w:r>
              <w:rPr>
                <w:rFonts w:ascii="Times New Roman;Times;Serif" w:hAnsi="Times New Roman;Times;Serif"/>
                <w:sz w:val="20"/>
              </w:rPr>
              <w:t> filed with the SEC on April 30, 2026, including any amendment or report filed for the purpose of updating that description.</w:t>
            </w:r>
          </w:p>
        </w:tc>
      </w:tr>
    </w:tbl>
    <w:p>
      <w:pPr>
        <w:pStyle w:val="TextBody"/>
        <w:shd w:fill="FFFFFF" w:val="clear"/>
        <w:bidi w:val="0"/>
        <w:ind w:left="720" w:right="0" w:hanging="36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addition, all documents subsequently filed by us pursuant to Sections 13(a), 13(c), 14, or 15(d) of the Exchange Act after the date of this Post-Effective Amendment and prior to effectiveness of this Post-Effective Amendment, and all such documents filed after the date of this prospectus and prior to the termination or completion of the offering of the Shares hereunder (in each case, excluding any information furnished rather than filed), shall be deemed to be incorporated by reference into this prospectus and to be a part hereof from the respective dates of filing of such documents. Any statement contained in this prospectus or in a document incorporated or deemed incorporated by reference shall be deemed modified or superseded to the extent that a statement contained herein or in any subsequently filed document modifies or supersedes such statement.</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will provide to each person, including any beneficial owner, to whom a prospectus is delivered, without charge, upon written or oral request, a copy of any or all of the documents incorporated by reference in this prospectus, other than exhibits to those documents unless the exhibits are specifically incorporated by reference into those documents. Requests should be directed to:</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Z Squared Inc.</w:t>
      </w:r>
    </w:p>
    <w:p>
      <w:pPr>
        <w:pStyle w:val="TextBody"/>
        <w:bidi w:val="0"/>
        <w:jc w:val="center"/>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550 South Andrews Ave. Ste #700</w:t>
      </w:r>
    </w:p>
    <w:p>
      <w:pPr>
        <w:pStyle w:val="TextBody"/>
        <w:bidi w:val="0"/>
        <w:jc w:val="center"/>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Fort Lauderdale, Florida 33301</w:t>
      </w:r>
    </w:p>
    <w:p>
      <w:pPr>
        <w:pStyle w:val="TextBody"/>
        <w:bidi w:val="0"/>
        <w:jc w:val="center"/>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Attn: Corporate Secretary</w:t>
      </w:r>
    </w:p>
    <w:p>
      <w:pPr>
        <w:pStyle w:val="TextBody"/>
        <w:bidi w:val="0"/>
        <w:jc w:val="center"/>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(954) 400-9994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These documents are also available through the SEC’s website at www.sec.gov and on our website at www.zsquaredinc.com.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6" w:name="a_004"/>
      <w:bookmarkEnd w:id="6"/>
      <w:r>
        <w:rPr>
          <w:rFonts w:ascii="Times New Roman;Times;Serif" w:hAnsi="Times New Roman;Times;Serif"/>
          <w:b/>
          <w:i w:val="false"/>
          <w:caps w:val="false"/>
          <w:smallCaps w:val="false"/>
          <w:sz w:val="20"/>
          <w:bdr w:val="single" w:sz="8" w:space="5" w:color="000000"/>
        </w:rPr>
        <w:t>SPECIAL NOTE REGARDING FORWARD-LOOKING STATEMENTS</w:t>
      </w:r>
    </w:p>
    <w:p>
      <w:pPr>
        <w:pStyle w:val="TextBody"/>
        <w:bidi w:val="0"/>
        <w:ind w:left="7" w:right="0" w:hanging="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This registration statement, of which this prospectus forms a part, contains forward-looking statements within the meaning of Section 27A of the Securities Act , and Section 21E of the Exchange Act. All statements other than statements of historical fact contained herein, including statements regarding our business plans or strategies, projected or anticipated benefits or other consequences of our plans or strategies are forward-looking statements. Words such as “anticipates,” “assumes,” “believes,” “can,” “could,” “estimates,” “expects,” “forecasts,” “guides,” “intends,” “is confident that,” “may,” “plans,” “seeks,” “projects,” “targets,” and “would,” and their opposites and similar expressions, as well as statements in future tense, are intended to identify forward-looking statements. Forward-looking statements should not be read as a guarantee of future performance or results and may not be accurate indications of when such performance or results will actually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continue as a going concern and to obtain the financing necessary to fund our operations and growth strategy;</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need to raise additional capital, which may not be available on acceptable terms or at all, including under the SEPA;</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volatility in the prices of Dogecoin, Litecoin, and other digital assets, and in the price of our Common Stock, due to changes in the capital markets, our industry, or our capital structure;</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operate our digital asset mining infrastructure profitably, including in periods in which prevailing Dogecoin prices are below our estimated breakeven level, and the effect of changes in network difficulty, hash rate, and energy costs on our mining output and margins;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anticipated performance and useful life of our ASIC mining hardware fleet, the assumptions underlying the valuation of that fleet, and our plans for hardware upgrades or replacement;</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execute our strategy to expand into AI, high-density compute, data center, and power generation infrastructure, including our “acquire-and-convert” strategy and our publicly announced goal of developing approximately 100 MW of AI-ready inference capacity over an approximately 18-month period;</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execute on our acquisition strategy and integrate acquired businesses and assets successfully, including the proposed acquisition of SkyCore Digital LLC (“SkyCore”), and to consummate the related financing;</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dependence on Minting Dome Inc. (“Minting Dome”) as our sole provider of hosting, power, and infrastructure services under our master services agreement, and the effect of any change in, or termination of, that arrangement;</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relating to the custody of our digital assets, including our reliance on third-party custodians;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remediate the material weakness in our internal control over financial reporting and to maintain effective internal control and disclosure controls and procedures;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retain key personnel and effectively manage growth;</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future sales of our Common Stock by the Selling Securityholders, including the former members of BSG Series CM, LLC (“BSG”), the lock-up and leak-out restrictions to which those shares are subject, and any effect on us of the pending SEC enforcement action to which BSG, our former principal stockholder, is a party;</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dilutive effect of issuances of our Common Stock to Yorkville under the SEPA and the effect of resales of those shares on the market price of our Common Stock;</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the digital asset mining and computing infrastructure industries, including competition, cyclicality, technological change, and concentration;</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economic conditions, inflation, and interest rate trends on our operations;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regulatory environment applicable to cryptocurrency mining, computing infrastructure, and power generation in the United States;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disruptions due to cybersecurity incidents or system failures;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legal proceedings and compliance obligations;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our Common Stock on the Nasdaq Global Market; and</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described in this prospectus, including those under the section entitled “Risk Factors,” and in the documents incorporated by reference herein, including our Annual Report on Form 10-K, our Quarterly Reports on Form 10-Q, and our Current Reports on Form 8-K.</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Should one or more of these risks or uncertainties materialize or should any of the assumptions made by the management of the Company prove incorrect, actual results may vary in material respects from those projected in these forward-looking statements.</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Except to the extent required by applicable law or regulation, the Company undertakes no obligation to update these forward-looking statements to reflect events or circumstances after the date hereof or to reflect the occurrence of unanticipated events.</w:t>
      </w:r>
    </w:p>
    <w:p>
      <w:pPr>
        <w:pStyle w:val="TextBody"/>
        <w:bidi w:val="0"/>
        <w:ind w:left="7" w:right="0" w:hanging="0"/>
        <w:jc w:val="both"/>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7" w:name="a_005"/>
      <w:bookmarkEnd w:id="7"/>
      <w:r>
        <w:rPr>
          <w:rFonts w:ascii="Times New Roman;Times;Serif" w:hAnsi="Times New Roman;Times;Serif"/>
          <w:b/>
          <w:i w:val="false"/>
          <w:caps w:val="false"/>
          <w:smallCaps w:val="false"/>
          <w:sz w:val="20"/>
          <w:bdr w:val="single" w:sz="8" w:space="5" w:color="000000"/>
        </w:rPr>
        <w:t>Z Squared Inc.</w:t>
      </w:r>
    </w:p>
    <w:p>
      <w:pPr>
        <w:pStyle w:val="TextBody"/>
        <w:bidi w:val="0"/>
        <w:ind w:left="7" w:right="0" w:hanging="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Z Squared Inc. (“Z Squared,” the “Company,” “we,” “us,” or “our”) is a computing and digital infrastructure company. Our current operations consist primarily of digital asset mining focused on the generation of Dogecoin (DOGE) and Litecoin (LTC) through merged mining using Scrypt-algorithm ASIC hardware, conducted across six mining facilities located in North Carolina, South Carolina, and Iowa.</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pursuing a strategic expansion of our business beyond digital asset mining and into artificial intelligence (AI) and high-density compute (HPC) infrastructure, data center development, and power generation. As the initial phase of this strategy, we have publicly announced a goal of developing approximately 100 MW of AI-ready inference capacity over an approximately 18-month period, which we intend to pursue principally through an “acquire-and-convert” strategy of acquiring existing sites and power and infrastructure assets and converting or developing them to support AI, HPC, and data center operations. We have limited or no operating history in these expansion business lines, and there can be no assurance that we will implement this strategy successfully or at all, or that it will achieve the results we anticipate.</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Following the completion of the business combination described below (the “Business Combination”) on April 24, 2026, Coeptis Therapeutics Holdings, Inc. (“Coeptis”) changed its corporate name to Z Squared Inc. on April 27, 2026, and our Common Stock began trading on the Nasdaq Global Market under the symbol “ZSQR” on April 27, 2026 (previously trading under the symbol “COEP”). Our principal executive offices are located at 550 South Andrews Ave., Suite 700, Fort Lauderdale, Florida 33301; telephone: (954) 400-9994.</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mining hardware fleet consists of 9,800 operational ASIC miners, including 8,228 Bitmain Antminer L7 units, 849 Bitmain Antminer L9 units, and 723 ElphaPex DG1+ units, which we acquired from BSG Series CM, LLC, a South Carolina limited liability company (“BSG”), at the closing of the Business Combination on April 24, 2026.</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independent registered public accounting firm has expressed substantial doubt about our ability to continue as a going concern, and we expect to require substantial additional capital to fund the deployment and operation of our mining fleet. See “Risk Factors — Risks Related to Our Financial Condition and Going Concern.” </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Common Stock is listed on the Nasdaq Global Market under the symbol “ZSQR.” Our principal executive offices are located at 550 South Andrews Ave., Suite 700, Fort Lauderdale, Florida 33301; telephone (954) 400-9994.</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Business Combination</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Merger Agreement and the Merger.</w:t>
      </w:r>
      <w:r>
        <w:rPr>
          <w:rFonts w:ascii="Times New Roman;Times;Serif" w:hAnsi="Times New Roman;Times;Serif"/>
          <w:b w:val="false"/>
          <w:i w:val="false"/>
          <w:caps w:val="false"/>
          <w:smallCaps w:val="false"/>
          <w:sz w:val="20"/>
          <w:bdr w:val="single" w:sz="8" w:space="5" w:color="000000"/>
        </w:rPr>
        <w:t> On April 25, 2025, Coeptis Therapeutics Holdings, Inc., a Delaware corporation (“Coeptis”), CP Merger Sub, Inc., a Wyoming corporation and wholly-owned direct subsidiary of Coeptis (“Merger Sub”), and Z Squared Inc., a Wyoming corporation, entered into an Agreement and Plan of Merger (as amended, the “Merger Agreement”). Pursuant to the Merger Agreement, on April 24, 2026 (the “Closing Date”), Merger Sub merged with and into the Wyoming Z Squared entity, which survived as a wholly-owned subsidiary of Coeptis and, pursuant to the articles of merger, changed its name to Z Squared OpCo Inc. (“OpCo”) (the “Business Combination”). On April 27, 2026, Coeptis amended its certificate of incorporation to change its corporate name to Z Squared Inc. (the post-Business Combination public parent company, referred to herein as the “Company,” “we,” “us,” or “our”), and on the same date the trading symbol for our Common Stock on the Nasdaq Global Market changed from “COEP” to “ZSQR.”</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Merger Consideration.</w:t>
      </w:r>
      <w:r>
        <w:rPr>
          <w:rFonts w:ascii="Times New Roman;Times;Serif" w:hAnsi="Times New Roman;Times;Serif"/>
          <w:b w:val="false"/>
          <w:i w:val="false"/>
          <w:caps w:val="false"/>
          <w:smallCaps w:val="false"/>
          <w:sz w:val="20"/>
          <w:bdr w:val="single" w:sz="8" w:space="5" w:color="000000"/>
        </w:rPr>
        <w:t> At the effective time of the Business Combination (the “Effective Time”), the former stockholders of OpCo received, in the aggregate, 43,877,497 shares of our Common Stock, representing the “Applicable Percentage” (as defined in the Merger Agreement) of our issued and outstanding Common Stock, calculated on a fully-diluted basis as provided in the Merger Agreement. The Business Combination was intended to qualify as a tax-free reorganization within the meaning of Section 368(a) of the Internal Revenue Code of 1986, as amended.</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Shares Outstanding.</w:t>
      </w:r>
      <w:r>
        <w:rPr>
          <w:rFonts w:ascii="Times New Roman;Times;Serif" w:hAnsi="Times New Roman;Times;Serif"/>
          <w:b w:val="false"/>
          <w:i w:val="false"/>
          <w:caps w:val="false"/>
          <w:smallCaps w:val="false"/>
          <w:sz w:val="20"/>
          <w:bdr w:val="single" w:sz="8" w:space="5" w:color="000000"/>
        </w:rPr>
        <w:t> Following the Effective Time, we had 51,431,493 shares of Common Stock issued and outstanding.</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Accounting Treatment.</w:t>
      </w:r>
      <w:r>
        <w:rPr>
          <w:rFonts w:ascii="Times New Roman;Times;Serif" w:hAnsi="Times New Roman;Times;Serif"/>
          <w:b w:val="false"/>
          <w:i w:val="false"/>
          <w:caps w:val="false"/>
          <w:smallCaps w:val="false"/>
          <w:sz w:val="20"/>
          <w:bdr w:val="single" w:sz="8" w:space="5" w:color="000000"/>
        </w:rPr>
        <w:t> The Business Combination is accounted for as a reverse merger under U.S. GAAP (ASC 805-40), with OpCo treated as the accounting acquirer for financial reporting purposes. Accordingly, the historical financial statements of OpCo, rather than those of Coeptis, are the historical financial statements of the Company for periods prior to the Business Combination, and our consolidated financial statements following the Business Combination reflect the assets, liabilities, and operations of OpCo, together with the operations of the combined company from the Closing Date. The audited financial statements and related management’s discussion and analysis of OpCo, and the unaudited pro forma condensed combined financial information giving effect to the Business Combination, are incorporated by reference herein from our Current Report on Form 8-K/A. Our Quarterly Report on Form 10-Q for the quarter ended March 31, 2026 reflects Coeptis on a standalone, pre-Business Combination basis and does not consolidate OpCo. As a result of the issuance of our Common Stock in the Business Combination, a change of control of the Company occurred on the Closing Date.</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 a more complete description of the Business Combination, our corporate history, and our business operations, see “Incorporation of Certain Information by Reference” and “Where You Can Find More Information.”</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Asset Contribution and the BSG Distribution.</w:t>
      </w:r>
      <w:r>
        <w:rPr>
          <w:rFonts w:ascii="Times New Roman;Times;Serif" w:hAnsi="Times New Roman;Times;Serif"/>
          <w:b w:val="false"/>
          <w:i w:val="false"/>
          <w:caps w:val="false"/>
          <w:smallCaps w:val="false"/>
          <w:sz w:val="20"/>
          <w:bdr w:val="single" w:sz="8" w:space="5" w:color="000000"/>
        </w:rPr>
        <w:t> In connection with the Business Combination, BSG Series CM, LLC, a South Carolina limited liability company (“BSG”), contributed to OpCo a fleet of 9,800 ASIC miners pursuant to the Amended and Restated Asset-For-Share Exchange Agreement, dated June 24, 2025, between BSG Series CM, LLC and Z Squared Inc., as amended by the First Amendment to the Amended and Restated Asset-For-Share Exchange Agreement, dated February 10, 2026, as further amended by the Second Amendment to the Amended and Restated Asset-For-Share Exchange Agreement, between BSG Series CM, LLC and Z Squared Inc. dated April 23, 2026 (the “AFSA”) in exchange for shares of OpCo common stock. The AFSA ascribed a value of $660,300,000 to the contributed fleet (the “Z Squared Asset Value”). Upon consummation of the Business Combination, the OpCo shares held by BSG were converted into shares of our Common Stock, and immediately following the Closing, BSG held 41,521,276 shares of our Common Stock, representing approximately 80.73% of our then-outstanding Common Stock. The issuance of the shares of our Common Stock to BSG in connection with the Business Combination was registered under the Securities Act on the Company’s Registration Statement on Form S-4 (File No. 333-288329). The shares of our Common Stock offered for resale under this prospectus were subsequently distributed by BSG to its members and are being registered for resale because they are not otherwise freely tradable in the hands of the Selling Securityholders. On April 30, 2026, BSG distributed all of its shares of our Common Stock, pro rata and for no consideration, to its members, following which BSG ceased to beneficially own any shares of our Common Stock and filed Amendment No. 1 to its Schedule 13D on or about May 15, 2026 reflecting the disposition. The shares of our Common Stock distributed by BSG, including certain of the shares being registered for resale under this prospectus, remain subject to the contractual lock-up and leak-out restrictions set forth in the AFSA. Those restrictions generally provide that, subject to specified exceptions: (i) no sales may be made unless the volume-weighted average price of our Common Stock over the preceding 10 trading days exceeds $16.00 per share; (ii) for the 18-month period beginning April 27, 2026, a holder may sell in any calendar month no more than one-eighteenth (1/18th) of the total shares it received; (iii) sales in any calendar month may not exceed 5% of the average daily trading volume of our Common Stock over the preceding 10 trading days; (iv) no short sales of our Common Stock are permitted; and (v) the restrictions terminate if the closing price of our Common Stock exceeds $35.00 per share for two consecutive trading days. See “Selling Securityholders” and “Risk Factors.”</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Spin-Out.</w:t>
      </w:r>
      <w:r>
        <w:rPr>
          <w:rFonts w:ascii="Times New Roman;Times;Serif" w:hAnsi="Times New Roman;Times;Serif"/>
          <w:b w:val="false"/>
          <w:i w:val="false"/>
          <w:caps w:val="false"/>
          <w:smallCaps w:val="false"/>
          <w:sz w:val="20"/>
          <w:bdr w:val="single" w:sz="8" w:space="5" w:color="000000"/>
        </w:rPr>
        <w:t> On April 15, 2026, in connection with the Business Combination, Coeptis reorganized substantially all of the assets and liabilities of its legacy biopharmaceutical operations (other than its interest in GEAR Therapeutics, Inc. (“GEAR”)) into a newly formed, wholly-owned subsidiary, Coeptis Holdings, Inc. (“CHI”), in exchange for 100% of the equity interests in CHI. Immediately prior to the consummation of the Business Combination, Coeptis declared and effected a one-for-one pro rata distribution of its equity interests in CHI to Coeptis stockholders of record as of January 2, 2026 (the “Spin-Out”). As a result of the Spin-Out, the legacy biopharmaceutical operations are held by CHI and do not form part of our consolidated business following the Business Combination.</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GEAR Therapeutics.</w:t>
      </w:r>
      <w:r>
        <w:rPr>
          <w:rFonts w:ascii="Times New Roman;Times;Serif" w:hAnsi="Times New Roman;Times;Serif"/>
          <w:b w:val="false"/>
          <w:i w:val="false"/>
          <w:caps w:val="false"/>
          <w:smallCaps w:val="false"/>
          <w:sz w:val="20"/>
          <w:bdr w:val="single" w:sz="8" w:space="5" w:color="000000"/>
        </w:rPr>
        <w:t> We retained our subsidiary GEAR following the Business Combination. In consideration for that retention, Coeptis issued 1,000,000 shares of Common Stock to CHI and granted CHI an option to acquire GEAR at its fair market value at the time of exercise. The option becomes exercisable on October 24, 2026 and remains exercisable for 24 months thereafter, with the exercise price payable, at CHI’s election, in cash, in shares of our Common Stock, or a combination thereof.</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Board of Directors and Management.</w:t>
      </w:r>
      <w:r>
        <w:rPr>
          <w:rFonts w:ascii="Times New Roman;Times;Serif" w:hAnsi="Times New Roman;Times;Serif"/>
          <w:b w:val="false"/>
          <w:i w:val="false"/>
          <w:caps w:val="false"/>
          <w:smallCaps w:val="false"/>
          <w:sz w:val="20"/>
          <w:bdr w:val="single" w:sz="8" w:space="5" w:color="000000"/>
        </w:rPr>
        <w:t> On the Closing Date, all directors and executive officers of Coeptis serving prior to the Effective Time resigned, and the directors designated by OpCo were appointed to our board of directors effective upon consummation of the Business Combination. David Halabu was appointed Chief Executive Officer and Brian Cogley was appointed Chief Financial Officer, and Ryan Schadel was appointed Chief Marketing Officer effective April 27, 2026. Our board of directors currently consists of four members: David Halabu, Adam Sohn, Bryan Fuerst, and Kenneth Cooper.</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Standby Equity Purchase Agreement</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November 1, 2024, the Company (then known as Coeptis Therapeutics Holdings, Inc.) entered into the SEPA with Yorkville, pursuant to which the Company has the right, but not the obligation, to sell to Yorkville up to $20,000,000 of shares of Common Stock, subject to the limitations and conditions set forth in the SEPA, from time to time during the term of the SEPA. Sales of Common Stockto Yorkville under the SEPA are at the Company’s election by delivery of written notices to Yorkville (each, an “Advance Notice,” and each sale pursuant thereto, an “Advance”). While there is no mandatory minimum amount for any Advance, an Advance may not exceed an amount equal to 100% of the average of the daily traded amount of the Common Stock during the five consecutive trading days immediately preceding the Advance Notice. Shares of Common Stock purchased pursuant to an Advance are purchased at a price equal to 95% of the lowest daily VWAP of the Common Stock during the three consecutive trading days commencing on the date of delivery of the Advance Notice, excluding any trading day on which the daily VWAP is less than a minimum acceptable price specified by the Company in the Advance Notice or on which there is no VWAP. “VWAP” means the daily volume weighted average price of the Common Stock for the applicable trading day on the Nasdaq Stock Market during regular trading hours, as reported by Bloomberg L.P.</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consideration for Yorkville’s commitment to purchase shares of Common Stock under the SEPA, the Company paid Yorkville a structuring fee of $25,000 and a commitment fee equal to 1% of the commitment amount, payable as to (i) 20,000 Commitment Shares issued on the date of the SEPA and (ii) $120,000 in cash or by way of an Advance on the date the Company has first received Advances in the aggregate amount of $5,000,000, which $120,000 payment has not been triggered as of the date of this prospectus. The Company also entered into a Registration Rights Agreement, dated November 1, 2024, with Yorkville, pursuant to which the Company agreed to register the resale of the shares of Common Stock issued or issuable to Yorkville under the SEPA, and the Original Registration Statement was filed in satisfaction of that obligation.</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connection with the SEPA, Yorkville advanced funds to the Company in exchange for a convertible promissory note in the aggregate principal amount of $1,304,758 (the “Yorkville Note”), which accrued interest at 8% per annum and matured on November 1, 2025. The Yorkville Note was satisfied in full during 2025, including through the issuance of shares of Common Stock upon conversion and the repayment of the remaining $218,750 principal balance, and no convertible promissory notes issued to Yorkville remain outstanding as of the date of this prospectus.</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SEPA provides that the Company may not issue or sell, and Yorkville may not purchase, shares of Common Stock that, when aggregated with all other shares of Common Stock then beneficially owned by Yorkville and its affiliates, would result in Yorkville beneficially owning more than 4.99% of the outstanding Common Stock. In addition, under applicable Nasdaq rules and the terms of the SEPA and the Yorkville Note, in no event may the Company issue to Yorkville shares of Common Stock in excess of 19.99% of the shares of Common Stock outstanding immediately prior to the execution of the SEPA (the “Exchange Cap”), unless the Company obtains stockholder approval to issue shares in excess of the Exchange Cap in accordance with applicable Nasdaq rules. On December 18, 2024, at the Company’s 2024 annual meeting of stockholders, the Company’s stockholders approved, for purposes of Nasdaq Listing Rule 5635(d), the issuance of up to $20,000,000 of securities in connection with the SEPA, and as a result the Exchange Cap does not limit issuances under the SEPA up to that amount. As of the date of this prospectus, the Company has issued an aggregate of 435,896 shares of Common Stock to Yorkville under the SEPA and the Yorkville Note (including the Commitment Shares). See “Risk Factors.”</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SEPA automatically terminates on the earlier of (i) December 1, 2027 and (ii) the date on which the Company shall have made full issuances of Advances pursuant to the SEPA. The Company may terminate the SEPA at no cost or penalty upon five trading days’ prior written notice to Yorkville, provided that there are no outstanding Advance Notices for which shares of Common Stock remain to be issued. The foregoing summary is qualified in its entirety by reference to the SEPA and the Registration Rights Agreement, copies of which are incorporated by reference as exhibits to the Registration Statement.</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Committed Equity Forward Purchase Agreement</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addition to the SEPA, on May 29, 2026 we entered into a Committed Equity Forward Purchase Agreement (the “Purchase Agreement”) with Translucent Matter Inc., a British Virgin Islands company (the “CEFPA Purchaser”), under which we may, in our sole discretion, sell to the CEFPA Purchaser up to $50.0 million of shares of Common Stock from time to time over an 18-month commitment period, subject to the terms and conditions of the Purchase Agreement. Draws are subject to minimum and maximum amounts per draw, a price floor, an exchange cap of 19.99% of our outstanding Common Stock (absent shareholder approval in accordance with the rules of the Nasdaq Stock Market), and a beneficial ownership limitation. The purchase price for shares sold in each draw is at a discount to the volume-weighted average price of our Common Stock over a pricing period for that draw.</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shares issuable under the Purchase Agreement are being issued in reliance on the exemption from registration provided by Section 4(a)(2) of the Securities Act and Regulation D thereunder, and are subject to a contractual lock-up of 9 months from the date such shares are issued</w:t>
      </w:r>
      <w:r>
        <w:rPr>
          <w:rFonts w:ascii="Times New Roman;Times;Serif" w:hAnsi="Times New Roman;Times;Serif"/>
          <w:b/>
          <w:i w:val="false"/>
          <w:caps w:val="false"/>
          <w:smallCaps w:val="false"/>
          <w:sz w:val="20"/>
          <w:bdr w:val="single" w:sz="8" w:space="5" w:color="000000"/>
        </w:rPr>
        <w:t>.</w:t>
      </w:r>
      <w:r>
        <w:rPr>
          <w:rFonts w:ascii="Times New Roman;Times;Serif" w:hAnsi="Times New Roman;Times;Serif"/>
          <w:b w:val="false"/>
          <w:i w:val="false"/>
          <w:caps w:val="false"/>
          <w:smallCaps w:val="false"/>
          <w:sz w:val="20"/>
          <w:bdr w:val="single" w:sz="8" w:space="5" w:color="000000"/>
        </w:rPr>
        <w:t> We have granted the CEFPA Purchaser certain registration rights with respect to those shares. The SEPA and the Purchase Agreement are separate arrangements with different counterparties; this prospectus relates only to the resale of shares acquired or acquirable by Yorkville under the SEPA.</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RISK FACTORS</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Investing in our securities involves a high degree of risk. Prior to making a decision about investing in our securities, you should carefully consider the specific factors discussed under the heading “Risk Factors” in our most recent Annual Report on Form 10-K, and under the heading “Risk Factors and Special Considerations” in our Current Report on Form 8-K filed on April 30, 2026, which are incorporated by reference in this prospectus and any prospectus supplement and may be amended, supplemented or superseded from time to time by our Quarterly Reports on Form 10-Q and other reports we file with the SEC in the future. The risks and uncertainties we have described are not the only risks to which we are exposed. Additional risks and uncertainties not presently known to us or that we currently deem immaterial may also affect our operations. If any of these risks actually occur, our business, results of operations and financial condition could suffer. In that case, the trading price of our securities could decline, and you could lose all or a part of your investment.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USE OF PROCEEDS</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offered hereby. Unless otherwise specified in any prospectus supplement, we currently intend to use the net proceeds from the sale of our securities offered under this prospectus for working capital and general corporate purposes. Pending any specific application, we may initially invest funds in short-term marketable securities or apply them to the reduction of indebtedness.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j_001"/>
      <w:bookmarkEnd w:id="10"/>
      <w:r>
        <w:rPr>
          <w:rFonts w:ascii="Times New Roman;Times;Serif" w:hAnsi="Times New Roman;Times;Serif"/>
          <w:b/>
          <w:i w:val="false"/>
          <w:caps w:val="false"/>
          <w:smallCaps w:val="false"/>
          <w:sz w:val="20"/>
        </w:rPr>
        <w:t>THE SECURITIES THAT WE MAY OFFER</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directly or through underwriters, dealers, or agents designated by us from time to time, may offer, issue, and sell, together or separately, an indeterminate amount of:</w:t>
      </w:r>
    </w:p>
    <w:p>
      <w:pPr>
        <w:pStyle w:val="TextBody"/>
        <w:bidi w:val="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our Common Stock, par value $0.0001 per share;</w:t>
            </w:r>
          </w:p>
        </w:tc>
      </w:tr>
    </w:tbl>
    <w:p>
      <w:pPr>
        <w:pStyle w:val="TextBody"/>
        <w:bidi w:val="0"/>
        <w:spacing w:before="0" w:after="283"/>
        <w:jc w:val="left"/>
        <w:rPr/>
      </w:pPr>
      <w:r>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our preferred stock, par value $0.0001 per share;</w:t>
            </w:r>
          </w:p>
        </w:tc>
      </w:tr>
    </w:tbl>
    <w:p>
      <w:pPr>
        <w:pStyle w:val="TextBody"/>
        <w:bidi w:val="0"/>
        <w:spacing w:before="0" w:after="283"/>
        <w:jc w:val="left"/>
        <w:rPr/>
      </w:pPr>
      <w:r>
        <w:rPr/>
        <w:t> </w:t>
      </w:r>
    </w:p>
    <w:tbl>
      <w:tblPr>
        <w:tblW w:w="1578" w:type="dxa"/>
        <w:jc w:val="left"/>
        <w:tblInd w:w="0" w:type="dxa"/>
        <w:tblLayout w:type="fixed"/>
        <w:tblCellMar>
          <w:top w:w="0" w:type="dxa"/>
          <w:left w:w="0" w:type="dxa"/>
          <w:bottom w:w="0" w:type="dxa"/>
          <w:right w:w="0" w:type="dxa"/>
        </w:tblCellMar>
      </w:tblPr>
      <w:tblGrid>
        <w:gridCol w:w="38"/>
        <w:gridCol w:w="17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debt securities</w:t>
            </w:r>
          </w:p>
        </w:tc>
      </w:tr>
    </w:tbl>
    <w:p>
      <w:pPr>
        <w:pStyle w:val="TextBody"/>
        <w:bidi w:val="0"/>
        <w:spacing w:before="0" w:after="0"/>
        <w:jc w:val="left"/>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to purchase shares of our Common Stock and/or shares of our preferred stock;</w:t>
            </w:r>
          </w:p>
        </w:tc>
      </w:tr>
    </w:tbl>
    <w:p>
      <w:pPr>
        <w:pStyle w:val="TextBody"/>
        <w:bidi w:val="0"/>
        <w:spacing w:before="0" w:after="283"/>
        <w:jc w:val="left"/>
        <w:rPr/>
      </w:pPr>
      <w:r>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units consisting of two or more of the securities described above; or</w:t>
            </w:r>
          </w:p>
        </w:tc>
      </w:tr>
    </w:tbl>
    <w:p>
      <w:pPr>
        <w:pStyle w:val="TextBody"/>
        <w:bidi w:val="0"/>
        <w:spacing w:before="0" w:after="283"/>
        <w:jc w:val="left"/>
        <w:rPr/>
      </w:pPr>
      <w:r>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rights to purchase shares of our Common Stock, shares of our preferred stock, warrants, or units.</w:t>
            </w:r>
          </w:p>
        </w:tc>
      </w:tr>
    </w:tbl>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the preferred stock, the debt securities, the warrants, the units, and the rights to purchase shares of our Common Stock, shares of our preferred stock, warrants, debt securities, or units collectively are referred to in this prospectus as the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summarized below the material terms of the various types of securities that we may offer. We will describe in the applicable prospectus supplement the detailed terms of the securities offered by that supplement. If indicated in the prospectus supplement, the terms of the offered securities may differ from the terms summarized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sell our securities unless it is accompanied by the applicable prospectus supplement.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j_002"/>
      <w:bookmarkEnd w:id="11"/>
      <w:r>
        <w:rPr>
          <w:rFonts w:ascii="Times New Roman;Times;Serif" w:hAnsi="Times New Roman;Times;Serif"/>
          <w:b/>
          <w:i w:val="false"/>
          <w:caps w:val="false"/>
          <w:smallCaps w:val="false"/>
          <w:sz w:val="20"/>
        </w:rPr>
        <w:t>DESCRIPTION OF CAPITAL STOCK</w:t>
      </w:r>
    </w:p>
    <w:p>
      <w:pPr>
        <w:pStyle w:val="TextBody"/>
        <w:bidi w:val="0"/>
        <w:ind w:left="7" w:right="0" w:hanging="0"/>
        <w:jc w:val="both"/>
        <w:rPr>
          <w:caps w:val="false"/>
          <w:smallCaps w:val="false"/>
        </w:rPr>
      </w:pPr>
      <w:r>
        <w:rPr>
          <w:caps w:val="false"/>
          <w:smallCaps w:val="false"/>
        </w:rPr>
        <w:t> </w:t>
      </w:r>
    </w:p>
    <w:p>
      <w:pPr>
        <w:pStyle w:val="TextBody"/>
        <w:bidi w:val="0"/>
        <w:spacing w:before="0" w:after="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describes the Common Stock, $0.0001 par value per share, and blank check preferred stock, $0.0001 par value per share, as well as certain provisions of our amended and restated certificate of incorporation, as amended (“Certificate of Incorporation”) and our second amended and restated bylaws (“Bylaws”). This description is only a summary. You should also refer to our Certificate of Incorporation and Bylaws, which have been filed with the SEC as exhibits to the registration statement of which this prospectus forms a part.</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Capital Stock</w:t>
      </w:r>
    </w:p>
    <w:p>
      <w:pPr>
        <w:pStyle w:val="TextBody"/>
        <w:bidi w:val="0"/>
        <w:ind w:left="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authorized 150,000,000 shares of Common Stock, $0.0001 par value per share, and 10,000,000 shares of preferred stock, $0.0001 par value per share. As of the date of this prospectus, we had 51,474,007  shares of our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Common Stock have equal ratable rights to dividends from funds legally available if and when declared by our board of directors and are entitled to share ratably in all of our assets available for distribution to holders of Common Stock upon liquidation, dissolution or winding up of our affairs. Our Common Stock does not provide the right to a preemptive, subscription or conversion rights and there are no redemption or sinking fund provisions or rights. Our common stockholders are entitled to one non-cumulative vote per share on all matters on which shareholders may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you to our Certificate of Incorporation, Bylaws and the applicable statutes of the state of Delaware for a more complete description of the rights and liabilities of holders of our securities. All material terms of our Common Stock have been addressed in this section.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up to 10,000,000 shares of preferred stock, $0.0001 par value. Our board of directors is authorized, without further shareholder approval, to issue shares of preferred stock in one or more series and to fix the designations, powers, preferences and rights of the shares of each such series, including dividend rights, conversion rights, voting rights, terms of redemption, liquidation preferences, and the number of shares constituting any series. The availability of authorized but unissued “blank-check” preferred stock could, under certain circumstances, discourage, delay or prevent a change in control, including through the issuance of a series of preferred stock with rights and preferences that could impede the consummation of a merger, tender offer or proxy contest or otherwise make it more difficult for a third party to obtain control of us.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and Restricted Stock</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Company has 700,000 unvested stock options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Company has no restricted stock outstanding.</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Convertible Securities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do not have any outstanding convertible securities.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June 25, 2026, with respect to compensation plans under which our equity securities are authorized for issuance.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86"/>
        <w:gridCol w:w="60"/>
        <w:gridCol w:w="170"/>
        <w:gridCol w:w="2278"/>
        <w:gridCol w:w="60"/>
        <w:gridCol w:w="60"/>
        <w:gridCol w:w="415"/>
        <w:gridCol w:w="1660"/>
        <w:gridCol w:w="60"/>
        <w:gridCol w:w="60"/>
        <w:gridCol w:w="189"/>
        <w:gridCol w:w="3128"/>
        <w:gridCol w:w="79"/>
      </w:tblGrid>
      <w:tr>
        <w:trPr/>
        <w:tc>
          <w:tcPr>
            <w:tcW w:w="1986"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448" w:type="dxa"/>
            <w:gridSpan w:val="2"/>
            <w:tcBorders>
              <w:bottom w:val="single" w:sz="8" w:space="0" w:color="000000"/>
            </w:tcBorders>
            <w:vAlign w:val="center"/>
          </w:tcPr>
          <w:p>
            <w:pPr>
              <w:pStyle w:val="TableContents"/>
              <w:bidi w:val="0"/>
              <w:spacing w:before="0" w:after="283"/>
              <w:jc w:val="center"/>
              <w:rPr>
                <w:b/>
              </w:rPr>
            </w:pPr>
            <w:r>
              <w:rPr>
                <w:b/>
              </w:rPr>
              <w:t>Number of securities to be issued upon exercise of outstanding options, warrants and rights (a)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5" w:type="dxa"/>
            <w:gridSpan w:val="2"/>
            <w:tcBorders>
              <w:bottom w:val="single" w:sz="8" w:space="0" w:color="000000"/>
            </w:tcBorders>
            <w:vAlign w:val="center"/>
          </w:tcPr>
          <w:p>
            <w:pPr>
              <w:pStyle w:val="TableContents"/>
              <w:bidi w:val="0"/>
              <w:spacing w:before="0" w:after="283"/>
              <w:jc w:val="center"/>
              <w:rPr>
                <w:b/>
              </w:rPr>
            </w:pPr>
            <w:r>
              <w:rPr>
                <w:b/>
              </w:rPr>
              <w:t>Weighted-</w:t>
              <w:br/>
              <w:t>average exercise price of outstanding options, warrants and rights (b)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7" w:type="dxa"/>
            <w:gridSpan w:val="2"/>
            <w:tcBorders>
              <w:bottom w:val="single" w:sz="8" w:space="0" w:color="000000"/>
            </w:tcBorders>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 (c)</w:t>
            </w:r>
          </w:p>
        </w:tc>
        <w:tc>
          <w:tcPr>
            <w:tcW w:w="79" w:type="dxa"/>
            <w:tcBorders/>
            <w:tcMar>
              <w:bottom w:w="0" w:type="dxa"/>
            </w:tcMar>
            <w:vAlign w:val="center"/>
          </w:tcPr>
          <w:p>
            <w:pPr>
              <w:pStyle w:val="TableContents"/>
              <w:bidi w:val="0"/>
              <w:spacing w:before="0" w:after="283"/>
              <w:jc w:val="left"/>
              <w:rPr/>
            </w:pPr>
            <w:r>
              <w:rPr/>
              <w:t> </w:t>
            </w:r>
          </w:p>
        </w:tc>
      </w:tr>
      <w:tr>
        <w:trPr/>
        <w:tc>
          <w:tcPr>
            <w:tcW w:w="1986"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2278" w:type="dxa"/>
            <w:tcBorders/>
            <w:shd w:fill="CCEEFF" w:val="clear"/>
            <w:tcMar>
              <w:bottom w:w="0" w:type="dxa"/>
            </w:tcMar>
            <w:vAlign w:val="center"/>
          </w:tcPr>
          <w:p>
            <w:pPr>
              <w:pStyle w:val="TableContents"/>
              <w:bidi w:val="0"/>
              <w:spacing w:before="0" w:after="283"/>
              <w:jc w:val="right"/>
              <w:rPr/>
            </w:pPr>
            <w:r>
              <w:rPr/>
              <w:t>933,066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w:t>
            </w:r>
          </w:p>
        </w:tc>
        <w:tc>
          <w:tcPr>
            <w:tcW w:w="1660" w:type="dxa"/>
            <w:tcBorders/>
            <w:shd w:fill="CCEEFF" w:val="clear"/>
            <w:tcMar>
              <w:bottom w:w="0" w:type="dxa"/>
            </w:tcMar>
            <w:vAlign w:val="center"/>
          </w:tcPr>
          <w:p>
            <w:pPr>
              <w:pStyle w:val="TableContents"/>
              <w:bidi w:val="0"/>
              <w:spacing w:before="0" w:after="283"/>
              <w:jc w:val="right"/>
              <w:rPr/>
            </w:pPr>
            <w:r>
              <w:rPr/>
              <w:t>20.90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3128" w:type="dxa"/>
            <w:tcBorders/>
            <w:shd w:fill="CCEEFF" w:val="clear"/>
            <w:tcMar>
              <w:bottom w:w="0" w:type="dxa"/>
            </w:tcMar>
            <w:vAlign w:val="center"/>
          </w:tcPr>
          <w:p>
            <w:pPr>
              <w:pStyle w:val="TableContents"/>
              <w:bidi w:val="0"/>
              <w:spacing w:before="0" w:after="283"/>
              <w:jc w:val="right"/>
              <w:rPr/>
            </w:pPr>
            <w:r>
              <w:rPr/>
              <w:t>6,788,035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986" w:type="dxa"/>
            <w:tcBorders/>
            <w:shd w:fill="FFFF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227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16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3128"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986"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2278" w:type="dxa"/>
            <w:tcBorders/>
            <w:shd w:fill="CCEEFF" w:val="clear"/>
            <w:tcMar>
              <w:bottom w:w="0" w:type="dxa"/>
            </w:tcMar>
            <w:vAlign w:val="center"/>
          </w:tcPr>
          <w:p>
            <w:pPr>
              <w:pStyle w:val="TableContents"/>
              <w:bidi w:val="0"/>
              <w:spacing w:before="0" w:after="283"/>
              <w:jc w:val="right"/>
              <w:rPr>
                <w:b/>
              </w:rPr>
            </w:pPr>
            <w:r>
              <w:rPr>
                <w:b/>
              </w:rPr>
              <w:t>933,066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b/>
              </w:rPr>
            </w:pPr>
            <w:r>
              <w:rPr>
                <w:b/>
              </w:rPr>
              <w:t>$</w:t>
            </w:r>
          </w:p>
        </w:tc>
        <w:tc>
          <w:tcPr>
            <w:tcW w:w="1660" w:type="dxa"/>
            <w:tcBorders/>
            <w:shd w:fill="CCEEFF" w:val="clear"/>
            <w:tcMar>
              <w:bottom w:w="0" w:type="dxa"/>
            </w:tcMar>
            <w:vAlign w:val="center"/>
          </w:tcPr>
          <w:p>
            <w:pPr>
              <w:pStyle w:val="TableContents"/>
              <w:bidi w:val="0"/>
              <w:spacing w:before="0" w:after="283"/>
              <w:jc w:val="right"/>
              <w:rPr>
                <w:b/>
              </w:rPr>
            </w:pPr>
            <w:r>
              <w:rPr>
                <w:b/>
              </w:rPr>
              <w:t>20.90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3128" w:type="dxa"/>
            <w:tcBorders/>
            <w:shd w:fill="CCEEFF" w:val="clear"/>
            <w:tcMar>
              <w:bottom w:w="0" w:type="dxa"/>
            </w:tcMar>
            <w:vAlign w:val="center"/>
          </w:tcPr>
          <w:p>
            <w:pPr>
              <w:pStyle w:val="TableContents"/>
              <w:bidi w:val="0"/>
              <w:spacing w:before="0" w:after="283"/>
              <w:jc w:val="right"/>
              <w:rPr>
                <w:b/>
              </w:rPr>
            </w:pPr>
            <w:r>
              <w:rPr>
                <w:b/>
              </w:rPr>
              <w:t>6,788,035</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Consists of shares of Common Stock issuable upon the exercise of outstanding options granted under the Z Squared Inc. 2025 Incentive Compensation Plan (the "2025 Plan"), which was approved by our stockholders. No awards remain outstanding under our predecessor 2022 Equity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both"/>
              <w:rPr/>
            </w:pPr>
            <w:r>
              <w:rPr/>
              <w:t>Represents shares of Common Stock available for future issuance under the 2025 Plan. The 2025 Plan provides that the aggregate number of shares of Common Stock that may be issued or transferred pursuant to awards thereunder shall not exceed fifteen percent (15%) of the number of shares of Common Stock issued and outstanding from time to time, subject to adjustment as provided in the 2025 Plan; provided that the maximum number of shares that may be delivered upon exercise of incentive stock options is 300,000, subject to adjustment. Because the share reserve adjusts automatically based on the number of shares of Common Stock outstanding from time to time, the number reflected in column (c) is calculated based on 51,474,007 shares of Common Stock outstanding as of June 25, 2026.</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transfer agent for our securities is Continental Stock Transfer &amp; Trust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Our Charter Documents and Delaware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DGCL, which, subject to certain exceptions, prohibits a Delaware corporation from engaging in any “business combination” with any “interested stockholder” for a period of three (3) years following the date that such stockholder became an interested stockholder. For purposes of Section 203, a “business combination” includes, among other things, a merger or consolidation, sale of assets, and certain other transactions with or proposed by an interested stockholder. An “interested stockholder” is generally defined as any entity or person beneficially owning 15% or more of the outstanding voting stock of the corporation and any entity or person affiliated with or controlling or controlled by such entity or person. Subject to certain exceptions, Section 203 is applicable unless: (i) before such person became an interested stockholder, the Board approved the transaction in which the interested stockholder became an interested stockholder; (ii) upon consummation of the transaction which resulted in the stockholder becoming an interested stockholder, the interested stockholder owned at least 85% of the voting stock of the corporation outstanding at the time the transaction commenced; or (iii) on or subsequent to such time, the business combination is approved by the Board and authorized by the affirmative vote of at least 66 2/3% of the outstanding voting stock that is not owned by the interested stockholder. The following is a brief description of the provisions in our Certificate of Incorporation and Bylaws that could have an effect of delaying, deferring, or preventing a change in control of the Company.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as amended, authorize 150,000,000 shares of Common Stock, $0.0001 par value, and 10,000,000 shares of preferred stock, $0.0001 par value per share. Our board of directors may issue shares of preferred stock in one or more series and fix the rights and preferences of any such series without shareholder approval. The availability of authorized but unissued common and “blank-check” preferred stock could, among other things, render more difficult or discourage an attempt to obtain control of the Company through a proxy contest, tender offer, merger or otherwise.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Cumulative Voting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our Certificate of Incorporation nor our Bylaws provide for cumulative voting in the election of directors. Accordingly, holders of a majority of the shares entitled to vote in any election of directors can elect all of the directors standing for election. (See our Bylaws and Certificate of Incorporation.)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Consent Prohibition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by Written Consent Our Certificate of Incorporation provides that, subject to the rights of holders of any outstanding series of preferred stock, stockholders may not take action by written consent in lieu of a meeting. All stockholder actions must be taken at a duly called annual or special meeting. This provision may prevent stockholders from initiating or approving stockholder proposals outside the context of a properly noticed and convened meeting and may delay the ability of stockholders to force consideration of a proposal or to take action, including the removal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 Vacancies; Removal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provide that the number of directors may be increased or decreased by the Board of Directors. Our Certificate of Incorporation and Bylaws provide that the Board of Directors has the exclusive right to fill any vacancy on the board, whether arising from death, disability, resignation, disqualification, removal, or otherwise, or resulting from an expansion of the board, with the appointee serving until the next annual election of directors and until his or her successor is elected and qualified. Stockholders may not fill vacancies on the Board of Directors. Our Bylaws also provide that any director or the entire board may be removed, with or without cause, by the vote of stockholders representing not less than a majority of the outstanding voting power. The Board’s exclusive authority over vacancies, combined with the prohibition on stockholder written consent, could make it more difficult for stockholders to remove incumbent directors or to effect a change in control of the board.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 Designation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authority to designate preferred stock illustrates the flexibility to issue preferred shares with rights that could, among other things, delay or prevent a change of control.</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j_003"/>
      <w:bookmarkEnd w:id="12"/>
      <w:r>
        <w:rPr>
          <w:rFonts w:ascii="Times New Roman;Times;Serif" w:hAnsi="Times New Roman;Times;Serif"/>
          <w:b/>
          <w:i w:val="false"/>
          <w:caps w:val="false"/>
          <w:smallCaps w:val="false"/>
          <w:sz w:val="20"/>
        </w:rPr>
        <w:t>DESCRIPTION OF DEBT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as either senior or subordinated debt or as senior or subordinated convertible debt, and any such debt securities may be secured or unsecured.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debt securities being offered, including:</w:t>
      </w:r>
    </w:p>
    <w:p>
      <w:pPr>
        <w:pStyle w:val="TextBody"/>
        <w:bidi w:val="0"/>
        <w:ind w:left="720" w:right="0" w:hanging="360"/>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of the series of debt securities;</w:t>
            </w:r>
          </w:p>
        </w:tc>
      </w:tr>
    </w:tbl>
    <w:p>
      <w:pPr>
        <w:pStyle w:val="TextBody"/>
        <w:bidi w:val="0"/>
        <w:spacing w:before="0" w:after="283"/>
        <w:jc w:val="left"/>
        <w:rPr/>
      </w:pPr>
      <w:r>
        <w:rPr/>
        <w:t> </w:t>
      </w:r>
    </w:p>
    <w:tbl>
      <w:tblPr>
        <w:tblW w:w="6438" w:type="dxa"/>
        <w:jc w:val="left"/>
        <w:tblInd w:w="0" w:type="dxa"/>
        <w:tblLayout w:type="fixed"/>
        <w:tblCellMar>
          <w:top w:w="0" w:type="dxa"/>
          <w:left w:w="0" w:type="dxa"/>
          <w:bottom w:w="0" w:type="dxa"/>
          <w:right w:w="0" w:type="dxa"/>
        </w:tblCellMar>
      </w:tblPr>
      <w:tblGrid>
        <w:gridCol w:w="38"/>
        <w:gridCol w:w="17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limit upon the aggregate principal amount that may be issued;</w:t>
            </w:r>
          </w:p>
        </w:tc>
      </w:tr>
    </w:tbl>
    <w:p>
      <w:pPr>
        <w:pStyle w:val="TextBody"/>
        <w:bidi w:val="0"/>
        <w:spacing w:before="0" w:after="283"/>
        <w:jc w:val="left"/>
        <w:rPr/>
      </w:pPr>
      <w:r>
        <w:rPr/>
        <w:t> </w:t>
      </w:r>
    </w:p>
    <w:tbl>
      <w:tblPr>
        <w:tblW w:w="2673" w:type="dxa"/>
        <w:jc w:val="left"/>
        <w:tblInd w:w="0" w:type="dxa"/>
        <w:tblLayout w:type="fixed"/>
        <w:tblCellMar>
          <w:top w:w="0" w:type="dxa"/>
          <w:left w:w="0" w:type="dxa"/>
          <w:bottom w:w="0" w:type="dxa"/>
          <w:right w:w="0" w:type="dxa"/>
        </w:tblCellMar>
      </w:tblPr>
      <w:tblGrid>
        <w:gridCol w:w="38"/>
        <w:gridCol w:w="17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maturity date or dates;</w:t>
            </w:r>
          </w:p>
        </w:tc>
      </w:tr>
    </w:tbl>
    <w:p>
      <w:pPr>
        <w:pStyle w:val="TextBody"/>
        <w:bidi w:val="0"/>
        <w:spacing w:before="0" w:after="283"/>
        <w:jc w:val="left"/>
        <w:rPr/>
      </w:pPr>
      <w:r>
        <w:rPr/>
        <w:t> </w:t>
      </w:r>
    </w:p>
    <w:tbl>
      <w:tblPr>
        <w:tblW w:w="4278" w:type="dxa"/>
        <w:jc w:val="left"/>
        <w:tblInd w:w="0" w:type="dxa"/>
        <w:tblLayout w:type="fixed"/>
        <w:tblCellMar>
          <w:top w:w="0" w:type="dxa"/>
          <w:left w:w="0" w:type="dxa"/>
          <w:bottom w:w="0" w:type="dxa"/>
          <w:right w:w="0" w:type="dxa"/>
        </w:tblCellMar>
      </w:tblPr>
      <w:tblGrid>
        <w:gridCol w:w="38"/>
        <w:gridCol w:w="17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form of the debt securities of the series;</w:t>
            </w:r>
          </w:p>
        </w:tc>
      </w:tr>
    </w:tbl>
    <w:p>
      <w:pPr>
        <w:pStyle w:val="TextBody"/>
        <w:bidi w:val="0"/>
        <w:spacing w:before="0" w:after="283"/>
        <w:jc w:val="left"/>
        <w:rPr/>
      </w:pPr>
      <w:r>
        <w:rPr/>
        <w:t> </w:t>
      </w:r>
    </w:p>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applicability of any guarantees;</w:t>
            </w:r>
          </w:p>
        </w:tc>
      </w:tr>
    </w:tbl>
    <w:p>
      <w:pPr>
        <w:pStyle w:val="TextBody"/>
        <w:bidi w:val="0"/>
        <w:spacing w:before="0" w:after="283"/>
        <w:jc w:val="left"/>
        <w:rPr/>
      </w:pPr>
      <w:r>
        <w:rPr/>
        <w:t> </w:t>
      </w:r>
    </w:p>
    <w:tbl>
      <w:tblPr>
        <w:tblW w:w="9468" w:type="dxa"/>
        <w:jc w:val="left"/>
        <w:tblInd w:w="0" w:type="dxa"/>
        <w:tblLayout w:type="fixed"/>
        <w:tblCellMar>
          <w:top w:w="0" w:type="dxa"/>
          <w:left w:w="0" w:type="dxa"/>
          <w:bottom w:w="0" w:type="dxa"/>
          <w:right w:w="0" w:type="dxa"/>
        </w:tblCellMar>
      </w:tblPr>
      <w:tblGrid>
        <w:gridCol w:w="38"/>
        <w:gridCol w:w="17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or not the debt securities will be secured or unsecured, and the terms of any secured debt;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debt securities rank as senior debt, senior subordinated debt, subordinated debt, or any combination thereof, and the terms of any subordination;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tc>
      </w:tr>
    </w:tbl>
    <w:p>
      <w:pPr>
        <w:pStyle w:val="TextBody"/>
        <w:bidi w:val="0"/>
        <w:spacing w:before="0" w:after="283"/>
        <w:jc w:val="left"/>
        <w:rPr/>
      </w:pPr>
      <w:r>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if any, to defer payment of interest and the maximum length of any such deferral period;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we will issue the series of debt securities, if other than denominations of $1,000 and any integral multiple thereof;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the full principal amount thereof, the portion of the principal amount of debt securities of the series which shall be payable upon declaration of acceleration of the maturity thereof;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changes in the covenants applicable to the particular debt securities being issued, including, among others, the consolidation, merger, or sale covenant;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changes in the events of default with respect to the securities and any change in the right of the trustee or the holders to declare the principal, premium, if any, and interest, if any, with respect to such securities to be due and payable;</w:t>
            </w:r>
          </w:p>
        </w:tc>
      </w:tr>
    </w:tbl>
    <w:p>
      <w:pPr>
        <w:pStyle w:val="TextBody"/>
        <w:bidi w:val="0"/>
        <w:spacing w:before="0" w:after="283"/>
        <w:jc w:val="left"/>
        <w:rPr/>
      </w:pPr>
      <w:r>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changes in or deletions of the provisions relating to covenant defeasance and legal defeasance;</w:t>
            </w:r>
          </w:p>
        </w:tc>
      </w:tr>
    </w:tbl>
    <w:p>
      <w:pPr>
        <w:pStyle w:val="TextBody"/>
        <w:bidi w:val="0"/>
        <w:spacing w:before="0" w:after="283"/>
        <w:jc w:val="left"/>
        <w:rPr/>
      </w:pPr>
      <w:r>
        <w:rPr/>
        <w:t> </w:t>
      </w:r>
    </w:p>
    <w:tbl>
      <w:tblPr>
        <w:tblW w:w="7968" w:type="dxa"/>
        <w:jc w:val="left"/>
        <w:tblInd w:w="0" w:type="dxa"/>
        <w:tblLayout w:type="fixed"/>
        <w:tblCellMar>
          <w:top w:w="0" w:type="dxa"/>
          <w:left w:w="0" w:type="dxa"/>
          <w:bottom w:w="0" w:type="dxa"/>
          <w:right w:w="0" w:type="dxa"/>
        </w:tblCellMar>
      </w:tblPr>
      <w:tblGrid>
        <w:gridCol w:w="38"/>
        <w:gridCol w:w="17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changes in the provisions relating to satisfaction and discharge of the indenture;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changes in the provisions relating to the modification of the indenture both with and without the consent of holders of debt securities issued under the indenture;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of payment of debt securities if other than U.S. dollars and the manner of determining the equivalent amount in U.S. dollars;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interest will be payable in cash or additional debt securities at our or the holders’ option, and the terms and conditions upon which the election may be made;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if any, upon which we will pay amounts in addition to the stated interest, premium, if any, and principal amounts of the debt securities of the series to any holder that is not a “United States person” for federal tax purposes;</w:t>
            </w:r>
          </w:p>
        </w:tc>
      </w:tr>
    </w:tbl>
    <w:p>
      <w:pPr>
        <w:pStyle w:val="TextBody"/>
        <w:bidi w:val="0"/>
        <w:spacing w:before="0" w:after="283"/>
        <w:jc w:val="left"/>
        <w:rPr/>
      </w:pPr>
      <w:r>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restrictions on transfer, sale, or assignment of the debt securities of the series;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preferences, rights, or limitations of, or restrictions on, the debt securities, any other additions or changes in the provisions of the indenture, and any terms that may be required by us or advisable under applicable laws or regulations.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Under the Indenture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applicable to a particular series of debt securities, the following are events of default under the indenture with respect to any series of debt securities that we may issue:</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tc>
      </w:tr>
    </w:tbl>
    <w:p>
      <w:pPr>
        <w:pStyle w:val="TextBody"/>
        <w:bidi w:val="0"/>
        <w:spacing w:before="0" w:after="283"/>
        <w:jc w:val="left"/>
        <w:rPr/>
      </w:pPr>
      <w:r>
        <w:rPr/>
        <w:t> </w:t>
      </w:r>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specified events of bankruptcy, insolvency, or reorganization occur.</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ind w:left="720" w:right="0" w:hanging="36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direction so given by the holder is not in conflict with any law or the applicable indenture;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its duties under the Trust Indenture Act, the trustee need not take any action that might involve it in personal liability or might be unduly prejudicial to the holders not involved in the proceeding.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have the right to institute a proceeding under the indenture or to appoint a receiver or trustee, or to seek other remedies, only if:</w:t>
      </w:r>
    </w:p>
    <w:p>
      <w:pPr>
        <w:pStyle w:val="TextBody"/>
        <w:bidi w:val="0"/>
        <w:ind w:left="720" w:right="0" w:hanging="36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has given written notice to the trustee of a continuing event of default with respect to that series;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aggregate principal amount of the outstanding debt securities of that series have made written request;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holders have offered to the trustee indemnity satisfactory to it against the costs, expenses, and liabilities to be incurred by the trustee in compliance with the request;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trustee regarding our compliance with specified covenants in the indenture.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Indenture; Waiver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change an indenture without the consent of any holders with respect to specific matters:</w:t>
      </w:r>
    </w:p>
    <w:p>
      <w:pPr>
        <w:pStyle w:val="TextBody"/>
        <w:bidi w:val="0"/>
        <w:ind w:left="720" w:right="0" w:hanging="36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8"/>
        <w:gridCol w:w="17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cure any ambiguity, defect, or inconsistency in the indenture or in the debt securities of any series;</w:t>
            </w:r>
          </w:p>
        </w:tc>
      </w:tr>
    </w:tbl>
    <w:p>
      <w:pPr>
        <w:pStyle w:val="TextBody"/>
        <w:bidi w:val="0"/>
        <w:spacing w:before="0" w:after="283"/>
        <w:jc w:val="left"/>
        <w:rPr/>
      </w:pPr>
      <w:r>
        <w:rPr/>
        <w:t> </w:t>
      </w:r>
    </w:p>
    <w:tbl>
      <w:tblPr>
        <w:tblW w:w="9948" w:type="dxa"/>
        <w:jc w:val="left"/>
        <w:tblInd w:w="0" w:type="dxa"/>
        <w:tblLayout w:type="fixed"/>
        <w:tblCellMar>
          <w:top w:w="0" w:type="dxa"/>
          <w:left w:w="0" w:type="dxa"/>
          <w:bottom w:w="0" w:type="dxa"/>
          <w:right w:w="0" w:type="dxa"/>
        </w:tblCellMar>
      </w:tblPr>
      <w:tblGrid>
        <w:gridCol w:w="38"/>
        <w:gridCol w:w="17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provisions described above under “Description of Debt Securities—Consolidation, Merger, or Sale;”</w:t>
            </w:r>
          </w:p>
        </w:tc>
      </w:tr>
    </w:tbl>
    <w:p>
      <w:pPr>
        <w:pStyle w:val="TextBody"/>
        <w:bidi w:val="0"/>
        <w:spacing w:before="0" w:after="283"/>
        <w:jc w:val="left"/>
        <w:rPr/>
      </w:pPr>
      <w:r>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uncertificated debt securities in addition to or in place of certificated debt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delete from, or revise the conditions, limitations, and restrictions on the authorized amount, terms, or purposes of issue, authentication, and delivery of debt securities, as set forth in the indenture;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change that does not adversely affect the interests of any holder of debt securities of any series in any material respect;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tc>
      </w:tr>
    </w:tbl>
    <w:p>
      <w:pPr>
        <w:pStyle w:val="TextBody"/>
        <w:bidi w:val="0"/>
        <w:spacing w:before="0" w:after="283"/>
        <w:jc w:val="left"/>
        <w:rPr/>
      </w:pPr>
      <w:r>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and provide for the acceptance of appointment under any indenture by a successor trustee;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any requirements of the SEC in connection with the qualification of any indenture under the Trust Indenture Act.</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pStyle w:val="TextBody"/>
        <w:bidi w:val="0"/>
        <w:ind w:left="720" w:right="0" w:hanging="36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extending the fixed maturity of any debt securities of any series;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principal amount, reducing the rate of or extending the time of payment of interest, or reducing any premium payable upon the redemption of any series of any debt securities;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percentage of debt securities, the holders of which are required to consent to any amendment, supplement, modification, or waiver.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for specified obligations, including obligations to:</w:t>
      </w:r>
    </w:p>
    <w:p>
      <w:pPr>
        <w:pStyle w:val="TextBody"/>
        <w:bidi w:val="0"/>
        <w:ind w:left="720" w:right="0" w:hanging="36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payment;</w:t>
            </w:r>
          </w:p>
        </w:tc>
      </w:tr>
    </w:tbl>
    <w:p>
      <w:pPr>
        <w:pStyle w:val="TextBody"/>
        <w:bidi w:val="0"/>
        <w:spacing w:before="0" w:after="283"/>
        <w:jc w:val="left"/>
        <w:rPr/>
      </w:pPr>
      <w:r>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or exchange of debt securities of the series;</w:t>
            </w:r>
          </w:p>
        </w:tc>
      </w:tr>
    </w:tbl>
    <w:p>
      <w:pPr>
        <w:pStyle w:val="TextBody"/>
        <w:bidi w:val="0"/>
        <w:spacing w:before="0" w:after="283"/>
        <w:jc w:val="left"/>
        <w:rPr/>
      </w:pPr>
      <w:r>
        <w:rPr/>
        <w:t> </w:t>
      </w:r>
    </w:p>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 stolen, lost, or mutilated debt securities of the series;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83"/>
        <w:jc w:val="left"/>
        <w:rPr/>
      </w:pPr>
      <w:r>
        <w:rPr/>
        <w:t> </w:t>
      </w:r>
    </w:p>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principal of and premium and interest on any debt securities of the series;</w:t>
            </w:r>
          </w:p>
        </w:tc>
      </w:tr>
    </w:tbl>
    <w:p>
      <w:pPr>
        <w:pStyle w:val="TextBody"/>
        <w:bidi w:val="0"/>
        <w:spacing w:before="0" w:after="283"/>
        <w:jc w:val="left"/>
        <w:rPr/>
      </w:pPr>
      <w:r>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paying agencies;</w:t>
            </w:r>
          </w:p>
        </w:tc>
      </w:tr>
    </w:tbl>
    <w:p>
      <w:pPr>
        <w:pStyle w:val="TextBody"/>
        <w:bidi w:val="0"/>
        <w:spacing w:before="0" w:after="283"/>
        <w:jc w:val="left"/>
        <w:rPr/>
      </w:pPr>
      <w:r>
        <w:rPr/>
        <w:t> </w:t>
      </w:r>
    </w:p>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monies for payment in trust;</w:t>
            </w:r>
          </w:p>
        </w:tc>
      </w:tr>
    </w:tbl>
    <w:p>
      <w:pPr>
        <w:pStyle w:val="TextBody"/>
        <w:bidi w:val="0"/>
        <w:spacing w:before="0" w:after="283"/>
        <w:jc w:val="left"/>
        <w:rPr/>
      </w:pPr>
      <w:r>
        <w:rPr/>
        <w:t> </w:t>
      </w:r>
    </w:p>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 excess money held by the trustee;</w:t>
            </w:r>
          </w:p>
        </w:tc>
      </w:tr>
    </w:tbl>
    <w:p>
      <w:pPr>
        <w:pStyle w:val="TextBody"/>
        <w:bidi w:val="0"/>
        <w:spacing w:before="0" w:after="283"/>
        <w:jc w:val="left"/>
        <w:rPr/>
      </w:pPr>
      <w:r>
        <w:rPr/>
        <w:t> </w:t>
      </w:r>
    </w:p>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compensate and indemnify the trustee; and</w:t>
            </w:r>
          </w:p>
        </w:tc>
      </w:tr>
    </w:tbl>
    <w:p>
      <w:pPr>
        <w:pStyle w:val="TextBody"/>
        <w:bidi w:val="0"/>
        <w:spacing w:before="0" w:after="283"/>
        <w:jc w:val="left"/>
        <w:rPr/>
      </w:pPr>
      <w:r>
        <w:rPr/>
        <w:t> </w:t>
      </w:r>
    </w:p>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any successor trustee.</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of Subordinated Debt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distribution of our assets upon our dissolution, winding up, liquidation, or reorganization, the payment of the principal of (and premium, if any) and interest on any debt securities denominated as subordinated debt securities is to be subordinated, to the extent provided in the indenture, in right of payment to the prior payment in full of all Senior Indebtedness (as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notwithstanding the foregoing, any payment from us is received by the trustee in respect of subordinated debt securities, or by the holders of any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 The prospectus supplement accompanying any series of subordinated debt securities will set forth the approximate amount of our Senior Indebtedness outstanding as of a recent date.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of or exchange any debt securities so selected for redemption, in whole or in part, except the unredeemed portion of any debt securities we are redeeming in part.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Trustee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We will name the trustee for any series of debt securities in the applicable prospectus supplement.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Trustee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trustee may resign or be removed with respect to one or more series of debt securities, provided that a successor trustee is appointed to act with respect to such series. In the event that two or more persons are acting as trustee with respect to different series of debt securities under the indenture, each of the trustees will be a trustee of a trust separate and apart from the trust administered by any other trustee.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Delaware, except to the extent that the Trust Indenture Act is applicable.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a_008"/>
      <w:bookmarkEnd w:id="13"/>
      <w:r>
        <w:rPr>
          <w:rFonts w:ascii="Times New Roman;Times;Serif" w:hAnsi="Times New Roman;Times;Serif"/>
          <w:b/>
          <w:i w:val="false"/>
          <w:caps w:val="false"/>
          <w:smallCaps w:val="false"/>
          <w:sz w:val="20"/>
        </w:rPr>
        <w:t>DESCRIPTION OF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description of the terms of the warrants we may issue from time to time. Particular terms of any warrants we offer will be described in the prospectus supplement relating to such warrants, as well as any warrant agreement that contains the terms of the warrants. We urge you to read the applicable prospectus supplements related to the warrants that we may sell under this prospectus, as well as the complete warrant agreements that will contain the terms of any warrants.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shares of our Common Stock or preferred stock. Such warrants may be issued in one or more series, independently or together with shares of Common Stock or preferred stock or other equity or debt securities and may be attached or separate from such securities. The warrants may also be in the form of pre-funded warrants. The terms of any warrants offered under a prospectus supplement may differ from the terms described below. We may issue warrants directly or under a separate warrant agreement to be entered into between us and a warrant agent. We will name any warrant agent in the applicable prospectus supplement. Any warrant agent will act solely as our agent in connection with the warrants of a particular series and will not assume any obligation or relationship of agency or trust for or with holders or beneficial owners of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and the applicable warrant agreement will describe the particular terms of any series of warrants we may issue, including the following:</w:t>
      </w:r>
    </w:p>
    <w:p>
      <w:pPr>
        <w:pStyle w:val="TextBody"/>
        <w:bidi w:val="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17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such warrants;</w:t>
            </w:r>
          </w:p>
        </w:tc>
      </w:tr>
    </w:tbl>
    <w:p>
      <w:pPr>
        <w:pStyle w:val="TextBody"/>
        <w:bidi w:val="0"/>
        <w:spacing w:before="0" w:after="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such warrants offered;</w:t>
            </w:r>
          </w:p>
        </w:tc>
      </w:tr>
    </w:tbl>
    <w:p>
      <w:pPr>
        <w:pStyle w:val="TextBody"/>
        <w:bidi w:val="0"/>
        <w:spacing w:before="0" w:after="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or prices at which such warrants will be issued;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the designation and terms of the securities with which the warrants are issued and the number of warrants issued with each such security or each principal amount of such security;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case of warrants to purchase debt securities, the principal amount of debt securities purchasable upon exercise of one warrant and the price at, and currency in which, this principal amount of debt securities may be purchased upon such exercise;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the case of warrants to purchase Common Stock or preferred stock, the number of shares of Common Stock or preferred stock, as the case may be, purchasable upon the exercise of one warrant and the price at which these shares may be purchased upon such exercise;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right to exercise such warrants shall commence and the date on which such right will expire;</w:t>
            </w:r>
          </w:p>
        </w:tc>
      </w:tr>
    </w:tbl>
    <w:p>
      <w:pPr>
        <w:pStyle w:val="TextBody"/>
        <w:bidi w:val="0"/>
        <w:spacing w:before="0" w:after="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such warrants will be issued in registered form or bearer form;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the minimum or maximum amount of such warrants which may be exercised at any one time;</w:t>
            </w:r>
          </w:p>
        </w:tc>
      </w:tr>
    </w:tbl>
    <w:p>
      <w:pPr>
        <w:pStyle w:val="TextBody"/>
        <w:bidi w:val="0"/>
        <w:spacing w:before="0" w:after="0"/>
        <w:jc w:val="left"/>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such warrants and the related securities will be separately transferable;</w:t>
            </w:r>
          </w:p>
        </w:tc>
      </w:tr>
    </w:tbl>
    <w:p>
      <w:pPr>
        <w:pStyle w:val="TextBody"/>
        <w:bidi w:val="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w:t>
            </w:r>
          </w:p>
        </w:tc>
      </w:tr>
    </w:tbl>
    <w:p>
      <w:pPr>
        <w:pStyle w:val="TextBody"/>
        <w:bidi w:val="0"/>
        <w:spacing w:before="0" w:after="0"/>
        <w:jc w:val="left"/>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170"/>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securities issuable upon exercise of the warrants;</w:t>
            </w:r>
          </w:p>
        </w:tc>
      </w:tr>
    </w:tbl>
    <w:p>
      <w:pPr>
        <w:pStyle w:val="TextBody"/>
        <w:bidi w:val="0"/>
        <w:spacing w:before="0" w:after="0"/>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anti-dilution provisions of the warrants, if any;</w:t>
            </w:r>
          </w:p>
        </w:tc>
      </w:tr>
    </w:tbl>
    <w:p>
      <w:pPr>
        <w:pStyle w:val="TextBody"/>
        <w:bidi w:val="0"/>
        <w:spacing w:before="0" w:after="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redemption or call provisions;</w:t>
            </w:r>
          </w:p>
        </w:tc>
      </w:tr>
    </w:tbl>
    <w:p>
      <w:pPr>
        <w:pStyle w:val="TextBody"/>
        <w:bidi w:val="0"/>
        <w:spacing w:before="0" w:after="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certain federal United States income tax considerations;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such warrants, including terms, procedures and limitations relating to the exchange and exercise of such warrants.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warrant agent, if any,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exercising their warrants, holders of warrants will not have any of the rights of holders of the securities purchasable upon such exercise, including the right to receive distributions or dividends, if any, or payments upon our liquidation, dissolution or winding up or to exercise any voting rights.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a_009"/>
      <w:bookmarkEnd w:id="14"/>
      <w:r>
        <w:rPr>
          <w:rFonts w:ascii="Times New Roman;Times;Serif" w:hAnsi="Times New Roman;Times;Serif"/>
          <w:b/>
          <w:i w:val="false"/>
          <w:caps w:val="false"/>
          <w:smallCaps w:val="false"/>
          <w:sz w:val="20"/>
        </w:rPr>
        <w:t>DESCRIPTION OF RIGHTS</w:t>
      </w:r>
    </w:p>
    <w:p>
      <w:pPr>
        <w:pStyle w:val="TextBody"/>
        <w:bidi w:val="0"/>
        <w:ind w:left="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summarizes the general features of the rights that we may offer under this prospectus. We may issue rights to our stockholders to purchase shares of our Common Stock and/or any of the other securities offered hereby. Each series of rights will be issued under a separate rights agreement to be entered into between us and a bank or trust company, as rights agent. When we issue rights, we will provide the specific terms of the rights and the applicable rights agreement in a prospectus supplement. Because the terms of any rights we offer under a prospectus supplement may differ from the terms we describe below, you should rely solely on information in the applicable prospectus supplement if that summary is different from the summary in this prospectus. We will incorporate by reference into the registration statement of which this prospectus is a part the form of rights agreement that describes the terms of the series of rights we are offering before the issuance of the related series of rights. The applicable prospectus supplement relating to any rights will describe the terms of the offered rights, including, where applicable, the following:</w:t>
      </w:r>
    </w:p>
    <w:p>
      <w:pPr>
        <w:pStyle w:val="TextBody"/>
        <w:bidi w:val="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17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for determining the persons entitled to participate in the rights distribution;</w:t>
            </w:r>
          </w:p>
        </w:tc>
      </w:tr>
    </w:tbl>
    <w:p>
      <w:pPr>
        <w:pStyle w:val="TextBody"/>
        <w:bidi w:val="0"/>
        <w:spacing w:before="0" w:after="0"/>
        <w:jc w:val="left"/>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for the rights;</w:t>
            </w:r>
          </w:p>
        </w:tc>
      </w:tr>
    </w:tbl>
    <w:p>
      <w:pPr>
        <w:pStyle w:val="TextBody"/>
        <w:bidi w:val="0"/>
        <w:spacing w:before="0" w:after="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or amount of underlying securities purchasable upon exercise of the rights;</w:t>
            </w:r>
          </w:p>
        </w:tc>
      </w:tr>
    </w:tbl>
    <w:p>
      <w:pPr>
        <w:pStyle w:val="TextBody"/>
        <w:bidi w:val="0"/>
        <w:spacing w:before="0" w:after="0"/>
        <w:jc w:val="left"/>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rights issued to each stockholder and the number of rights outstanding, if any;</w:t>
            </w:r>
          </w:p>
        </w:tc>
      </w:tr>
    </w:tbl>
    <w:p>
      <w:pPr>
        <w:pStyle w:val="TextBody"/>
        <w:bidi w:val="0"/>
        <w:spacing w:before="0" w:after="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rights are transferable;</w:t>
            </w:r>
          </w:p>
        </w:tc>
      </w:tr>
    </w:tbl>
    <w:p>
      <w:pPr>
        <w:pStyle w:val="TextBody"/>
        <w:bidi w:val="0"/>
        <w:spacing w:before="0" w:after="0"/>
        <w:jc w:val="left"/>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conditions to completing the rights offering;</w:t>
            </w:r>
          </w:p>
        </w:tc>
      </w:tr>
    </w:tbl>
    <w:p>
      <w:pPr>
        <w:pStyle w:val="TextBody"/>
        <w:bidi w:val="0"/>
        <w:spacing w:before="0" w:after="0"/>
        <w:jc w:val="left"/>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17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 will expire;</w:t>
            </w:r>
          </w:p>
        </w:tc>
      </w:tr>
    </w:tbl>
    <w:p>
      <w:pPr>
        <w:pStyle w:val="TextBody"/>
        <w:bidi w:val="0"/>
        <w:spacing w:before="0" w:after="0"/>
        <w:jc w:val="left"/>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170"/>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rights include an over-subscription privilege with respect to unsubscribed securities;</w:t>
            </w:r>
          </w:p>
        </w:tc>
      </w:tr>
    </w:tbl>
    <w:p>
      <w:pPr>
        <w:pStyle w:val="TextBody"/>
        <w:bidi w:val="0"/>
        <w:spacing w:before="0" w:after="0"/>
        <w:jc w:val="left"/>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7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anti-dilution provisions of the rights, if any;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rights, including terms, procedures and limitations relating to the distribution, exchange and exercise of the rights.</w:t>
            </w:r>
          </w:p>
        </w:tc>
      </w:tr>
    </w:tbl>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a_010"/>
      <w:bookmarkEnd w:id="15"/>
      <w:r>
        <w:rPr>
          <w:rFonts w:ascii="Times New Roman;Times;Serif" w:hAnsi="Times New Roman;Times;Serif"/>
          <w:b/>
          <w:i w:val="false"/>
          <w:caps w:val="false"/>
          <w:smallCaps w:val="false"/>
          <w:sz w:val="20"/>
        </w:rPr>
        <w:t>DESCRIPTION OF UNITS</w:t>
      </w:r>
    </w:p>
    <w:p>
      <w:pPr>
        <w:pStyle w:val="TextBody"/>
        <w:bidi w:val="0"/>
        <w:ind w:left="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comprising two or more securities described in this prospectus in any combination. For example, we might issue units consisting of a combination of Common Stock, preferred stock, warrants to purchase Common Stock or any combination of such securities. The following description sets forth certain general terms and provisions of the units that we may offer pursuant to this prospectus. The particular terms of the units and the extent, if any, to which the general terms and provisions may apply to the units offered will be described in the applicable prospectus supplement.</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will be issued so that the holder of the unit also is the holder of each security included in the unit. Thus, the unit will have the rights and obligations of a holder of each included security. Units will be issued pursuant to the terms of an agreement, which may provide that the securities included in the unit may not be held or transferred separately at any time or at any time before a specified date. A copy of the forms of such agreement and the unit certificate, if applicable,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particular issuance of units will describe the terms of those units, including, to the extent applicable,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the securities comprising the units, including whether and under what circumstances those securities may be held or transferred separately;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 for the issuance, payment, settlement, transfer or exchange of the units or of the securities comprising the units; and</w:t>
            </w:r>
          </w:p>
        </w:tc>
      </w:tr>
    </w:tbl>
    <w:p>
      <w:pPr>
        <w:pStyle w:val="TextBody"/>
        <w:bidi w:val="0"/>
        <w:spacing w:before="0" w:after="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units will be issued in fully registered or global form.</w:t>
            </w:r>
          </w:p>
        </w:tc>
      </w:tr>
    </w:tbl>
    <w:p>
      <w:pPr>
        <w:pStyle w:val="TextBody"/>
        <w:bidi w:val="0"/>
        <w:ind w:left="7"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 w:name="a_011"/>
      <w:bookmarkEnd w:id="16"/>
      <w:r>
        <w:rPr>
          <w:rFonts w:ascii="Times New Roman;Times;Serif" w:hAnsi="Times New Roman;Times;Serif"/>
          <w:b/>
          <w:i w:val="false"/>
          <w:caps w:val="false"/>
          <w:smallCaps w:val="false"/>
          <w:sz w:val="20"/>
        </w:rPr>
        <w:t>PLAN OF DISTRIBUTION</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from time to time, by a variety of methods, including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any national securities exchange or quotation service on which our securities may be listed at the time of sale, including Nasdaq;</w:t>
            </w:r>
          </w:p>
        </w:tc>
      </w:tr>
    </w:tbl>
    <w:p>
      <w:pPr>
        <w:pStyle w:val="TextBody"/>
        <w:bidi w:val="0"/>
        <w:spacing w:before="0" w:after="0"/>
        <w:jc w:val="left"/>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over-the-counter market;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transactions otherwise than on such exchange or in the over-the-counter market, which may include privately negotiated transactions and sales directly to one or more purchasers;</w:t>
            </w:r>
          </w:p>
        </w:tc>
      </w:tr>
    </w:tbl>
    <w:p>
      <w:pPr>
        <w:pStyle w:val="TextBody"/>
        <w:bidi w:val="0"/>
        <w:spacing w:before="0" w:after="0"/>
        <w:jc w:val="left"/>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ordinary brokerage transactions and transactions in which the broker-dealer solicits purchasers;</w:t>
            </w:r>
          </w:p>
        </w:tc>
      </w:tr>
    </w:tbl>
    <w:p>
      <w:pPr>
        <w:pStyle w:val="TextBody"/>
        <w:bidi w:val="0"/>
        <w:spacing w:before="0" w:after="0"/>
        <w:jc w:val="left"/>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purchases by a broker-dealer as principal and resale by the broker-dealer for its account;</w:t>
            </w:r>
          </w:p>
        </w:tc>
      </w:tr>
    </w:tbl>
    <w:p>
      <w:pPr>
        <w:pStyle w:val="TextBody"/>
        <w:bidi w:val="0"/>
        <w:spacing w:before="0" w:after="0"/>
        <w:jc w:val="left"/>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17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underwriters, broker-dealers, agents, in privately negotiated transactions, or any combination of these methods;</w:t>
            </w:r>
          </w:p>
        </w:tc>
      </w:tr>
    </w:tbl>
    <w:p>
      <w:pPr>
        <w:pStyle w:val="TextBody"/>
        <w:bidi w:val="0"/>
        <w:spacing w:before="0" w:after="0"/>
        <w:jc w:val="left"/>
        <w:rPr>
          <w:caps w:val="false"/>
          <w:smallCaps w:val="false"/>
        </w:rPr>
      </w:pPr>
      <w:r>
        <w:rPr>
          <w:caps w:val="false"/>
          <w:smallCaps w:val="false"/>
        </w:rPr>
        <w:t xml:space="preserve">  </w:t>
      </w:r>
    </w:p>
    <w:tbl>
      <w:tblPr>
        <w:tblW w:w="1833" w:type="dxa"/>
        <w:jc w:val="left"/>
        <w:tblInd w:w="0" w:type="dxa"/>
        <w:tblLayout w:type="fixed"/>
        <w:tblCellMar>
          <w:top w:w="0" w:type="dxa"/>
          <w:left w:w="0" w:type="dxa"/>
          <w:bottom w:w="0" w:type="dxa"/>
          <w:right w:w="0" w:type="dxa"/>
        </w:tblCellMar>
      </w:tblPr>
      <w:tblGrid>
        <w:gridCol w:w="38"/>
        <w:gridCol w:w="17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short sales;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or settlement of options or other hedging transactions, whether through an options exchange or otherwise;</w:t>
            </w:r>
          </w:p>
        </w:tc>
      </w:tr>
    </w:tbl>
    <w:p>
      <w:pPr>
        <w:pStyle w:val="TextBody"/>
        <w:bidi w:val="0"/>
        <w:spacing w:before="0" w:after="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17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combination of any of these methods; or</w:t>
            </w:r>
          </w:p>
        </w:tc>
      </w:tr>
    </w:tbl>
    <w:p>
      <w:pPr>
        <w:pStyle w:val="TextBody"/>
        <w:bidi w:val="0"/>
        <w:spacing w:before="0" w:after="0"/>
        <w:jc w:val="left"/>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any other method permitted pursuant to applicable law.</w:t>
            </w:r>
          </w:p>
        </w:tc>
      </w:tr>
    </w:tbl>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distributed from time to time in one or more transactions:</w:t>
      </w:r>
    </w:p>
    <w:p>
      <w:pPr>
        <w:pStyle w:val="TextBody"/>
        <w:bidi w:val="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fixed price or prices, which may be changed;</w:t>
            </w:r>
          </w:p>
        </w:tc>
      </w:tr>
    </w:tbl>
    <w:p>
      <w:pPr>
        <w:pStyle w:val="TextBody"/>
        <w:bidi w:val="0"/>
        <w:spacing w:before="0" w:after="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17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market prices prevailing at the time of sale;</w:t>
            </w:r>
          </w:p>
        </w:tc>
      </w:tr>
    </w:tbl>
    <w:p>
      <w:pPr>
        <w:pStyle w:val="TextBody"/>
        <w:bidi w:val="0"/>
        <w:spacing w:before="0" w:after="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prices related to such prevailing market prices; or</w:t>
            </w:r>
          </w:p>
        </w:tc>
      </w:tr>
    </w:tbl>
    <w:p>
      <w:pPr>
        <w:pStyle w:val="TextBody"/>
        <w:bidi w:val="0"/>
        <w:spacing w:before="0" w:after="0"/>
        <w:jc w:val="left"/>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negotiated prices.</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or supplements (and any related free writing prospectus that we may authorize to be provided to you) will describe the terms of the offering of the securities, including, to the extent applicable:</w:t>
      </w:r>
    </w:p>
    <w:p>
      <w:pPr>
        <w:pStyle w:val="TextBody"/>
        <w:shd w:fill="FFFFFF" w:val="clear"/>
        <w:bidi w:val="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or names of the underwriters, dealers or agents, if any;</w:t>
            </w:r>
          </w:p>
        </w:tc>
      </w:tr>
    </w:tbl>
    <w:p>
      <w:pPr>
        <w:pStyle w:val="TextBody"/>
        <w:bidi w:val="0"/>
        <w:spacing w:before="0" w:after="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170"/>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of the securities or other consideration therefor, and the proceeds, if any, we will receive from the sale;</w:t>
            </w:r>
          </w:p>
        </w:tc>
      </w:tr>
    </w:tbl>
    <w:p>
      <w:pPr>
        <w:pStyle w:val="TextBody"/>
        <w:bidi w:val="0"/>
        <w:spacing w:before="0" w:after="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over-allotment or other options under which underwriters may purchase additional securities from us;</w:t>
            </w:r>
          </w:p>
        </w:tc>
      </w:tr>
    </w:tbl>
    <w:p>
      <w:pPr>
        <w:pStyle w:val="TextBody"/>
        <w:bidi w:val="0"/>
        <w:spacing w:before="0" w:after="0"/>
        <w:jc w:val="left"/>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agency fees or underwriting discounts and other items constituting agents’ or underwriters’ compensation;</w:t>
            </w:r>
          </w:p>
        </w:tc>
      </w:tr>
    </w:tbl>
    <w:p>
      <w:pPr>
        <w:pStyle w:val="TextBody"/>
        <w:bidi w:val="0"/>
        <w:spacing w:before="0" w:after="0"/>
        <w:jc w:val="left"/>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public offering price;</w:t>
            </w:r>
          </w:p>
        </w:tc>
      </w:tr>
    </w:tbl>
    <w:p>
      <w:pPr>
        <w:pStyle w:val="TextBody"/>
        <w:bidi w:val="0"/>
        <w:spacing w:before="0" w:after="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or concessions allowed or reallowed or paid to dealers; and</w:t>
            </w:r>
          </w:p>
        </w:tc>
      </w:tr>
    </w:tbl>
    <w:p>
      <w:pPr>
        <w:pStyle w:val="TextBody"/>
        <w:bidi w:val="0"/>
        <w:spacing w:before="0" w:after="0"/>
        <w:jc w:val="left"/>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securities exchange or market on which the securities may be listed.</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best-efforts basis and a dealer will purchase securities as a principal and may then resell the securities at varying prices to be determined by the dealer.</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In compliance with the guidelines of the Financial Industry Regulatory Authority, Inc., or FINRA, the maximum amount of underwriting compensation, including underwriting discounts and commissions, to be paid in connection with any offering of securities pursuant to this prospectus may not exceed 8% of the aggregate principal amount of securities offered. We may enter into agreements to indemnify underwriters, dealers and agents against civil liabilities, including liabilities under the Securities Act, or to contribute to payments they may be required to make in respect thereof and to reimburse those persons for certain expenses. The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pStyle w:val="TextBody"/>
        <w:bidi w:val="0"/>
        <w:ind w:left="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Common Stock and may use securities received from us in settlement of those derivatives to close out any related open borrowings of our Common Stock. In addition, we may loan or pledge securities to a financial institution or other third party that in turn may sell the securities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transactions with us, or provide services for us, in the ordinary course of business for which they receive compensation.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7" w:name="a_012"/>
      <w:bookmarkEnd w:id="17"/>
      <w:r>
        <w:rPr>
          <w:rFonts w:ascii="Times New Roman;Times;Serif" w:hAnsi="Times New Roman;Times;Serif"/>
          <w:b/>
          <w:i w:val="false"/>
          <w:caps w:val="false"/>
          <w:smallCaps w:val="false"/>
          <w:sz w:val="20"/>
        </w:rPr>
        <w:t>LEGAL MATTERS</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certain legal matters in connection with the offering and the validity of the securities offered by this prospectus, and any supplement thereto, will be passed upon by Zarif Law Group P.C.</w:t>
      </w:r>
    </w:p>
    <w:p>
      <w:pPr>
        <w:pStyle w:val="TextBody"/>
        <w:bidi w:val="0"/>
        <w:ind w:left="7"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8" w:name="a_013"/>
      <w:bookmarkEnd w:id="18"/>
      <w:r>
        <w:rPr>
          <w:rFonts w:ascii="Times New Roman;Times;Serif" w:hAnsi="Times New Roman;Times;Serif"/>
          <w:b/>
          <w:i w:val="false"/>
          <w:caps w:val="false"/>
          <w:smallCaps w:val="false"/>
          <w:sz w:val="20"/>
        </w:rPr>
        <w:t>EXPERTS</w:t>
      </w:r>
    </w:p>
    <w:p>
      <w:pPr>
        <w:pStyle w:val="TextBody"/>
        <w:bidi w:val="0"/>
        <w:ind w:left="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Z Squared OpCo Inc. as of December 31, 2025 and 2024, and for each of the years then ended, incorporated by reference in this prospectus from our Current Report on Form 8-K/A, have been audited by Stephano Slack LLC, an independent registered public accounting firm, as set forth in its report thereon (which report contains an explanatory paragraph expressing substantial doubt about the ability of Z Squared OpCo Inc. to continue as a going concern). Such consolidated financial statements are incorporated by reference herein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Coeptis Therapeutics Holdings, Inc. (now known as Z Squared Inc.) as of December 31, 2025 and 2024, and for each of the years then ended, incorporated by reference in this prospectus from our Annual Report on Form 10-K for the year ended December 31, 2025, have been audited by Astra Audit &amp; Advisory, LLC, an independent registered public accounting firm, as set forth in its report thereon (which report contains an explanatory paragraph expressing substantial doubt about the Company's ability to continue as a going concern). Such consolidated financial statements are incorporated by reference herein in reliance upon such report, given on the authority of such firm as experts in accounting and auditing.</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9" w:name="a_014"/>
      <w:bookmarkEnd w:id="19"/>
      <w:r>
        <w:rPr>
          <w:rFonts w:ascii="Times New Roman;Times;Serif" w:hAnsi="Times New Roman;Times;Serif"/>
          <w:b/>
          <w:i w:val="false"/>
          <w:caps w:val="false"/>
          <w:smallCaps w:val="false"/>
          <w:sz w:val="20"/>
        </w:rPr>
        <w:t>DISCLOSURE OF COMMISSION POSITION ON INDEMNIFICATION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SECURITIES ACT LIABILITIES</w:t>
      </w:r>
    </w:p>
    <w:p>
      <w:pPr>
        <w:pStyle w:val="TextBody"/>
        <w:bidi w:val="0"/>
        <w:jc w:val="center"/>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provides that directors and officers of Delaware corporations may, under certain circumstances, be indemnified against expenses (including attorneys’ fees) and other liabilities actually and reasonably incurred by them as a result of any suit brought against them in their capacity as a director or officer, if they acted in good faith and in a manner they reasonably believed to be in or not opposed to the best interests of the corporation, and, with respect to any criminal action or proceeding, if they had no reasonable cause to believe their conduct was unlawful. The DGCL also provides that directors and officers may also be indemnified against expenses (including attorneys’ fees) incurred by them in connection with a derivative suit if they acted in good faith and in a manner they reasonably believed to be in or not opposed to the best interests of the corporation, except that no indemnification may be made without court approval if such person was adjudged liable to the corporation.</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Article VI of our second amended and restated bylaws contains provisions that allow the Company to indemnify its officers, directors, employees, and agents.</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the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claim for indemnification against such liabilities (other than the payment by the registrant of expenses incurred or paid by directors, officers, or controlling person of the registrant in the successful defense of any action, suit, or proceeding) is asserted by such director, officer, or controlling person in connection with the securities being registered, the registrant will, unless in the opinion of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Z Squared Inc.</w:t>
      </w:r>
    </w:p>
    <w:p>
      <w:pPr>
        <w:pStyle w:val="TextBody"/>
        <w:bidi w:val="0"/>
        <w:ind w:left="7"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July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$300,000,000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sales agreement, dated as of July 6, 2026 (the “Sales Agreement), with Roth Capital Partners, LLC (the “Agent”), relating to shares of our common stock, par value $0.0001 per share (the “Common Stock”), offered by this prospectus supplement and the accompanying prospectus. In accordance with the terms of the Sales Agreement, we may offer and sell shares of our Common Stock, having an aggregate offering price of up to $300,000,000 from time to time through the Agent, acting as our exclusive sales agent or principal, at our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and trades under the symbol “ZSQR”. The last reported sale price of our Common Stock on the Nasdaq Global Market on July 2, 2026, was $10.99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supplement and accompanying prospectus may be made in sales deemed to be “at the market offerings” as defined in rule 415 promulgated under the Securities Act of 1933, as amended (the “Securities Act”). The Agent is not required to sell any specific number or dollar amount of securities but will act as a sales agent using commercially reasonable efforts consistent with its normal trading and sales practices, on mutually agreed terms between the Agent and us. There is no arrangement for funds to be received in any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to the Agent for sales of Common Stock sold pursuant to the Sales Agreement will be an amount equal to 3.00% of the gross proceeds of any shares of Common Stock sold under the Sales Agreement. In connection with the sale of the Common Stock on our behalf, the Agent will be deemed to be an “underwriter” within the meaning of the Securities Act and the compensation of the Agent will be deemed to be underwriting commissions or discounts. We have also agreed to provide indemnification and contribution to the Agent with respect to certain liabilities, including liabilities under the Securities Act or the Securities Exchange Act of 1934, as amended (the “Exchange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buying any of our securities, you should carefully read “Risk Factors” on page S-8 of this prospectus supplement, and under similar headings in the other documents that are incorporated by reference into this prospectus supplement and the accompanying prospectus.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Sole Agent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6, 2026</w:t>
      </w:r>
    </w:p>
    <w:p>
      <w:pPr>
        <w:pStyle w:val="TextBody"/>
        <w:bidi w:val="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7400"/>
        <w:gridCol w:w="60"/>
        <w:gridCol w:w="530"/>
      </w:tblGrid>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b/>
              </w:rPr>
            </w:pPr>
            <w:r>
              <w:rPr>
                <w:b/>
              </w:rPr>
              <w:t>Page</w:t>
            </w:r>
          </w:p>
        </w:tc>
      </w:tr>
      <w:tr>
        <w:trPr/>
        <w:tc>
          <w:tcPr>
            <w:tcW w:w="7400" w:type="dxa"/>
            <w:tcBorders/>
            <w:vAlign w:val="center"/>
          </w:tcPr>
          <w:p>
            <w:pPr>
              <w:pStyle w:val="TableContents"/>
              <w:bidi w:val="0"/>
              <w:spacing w:before="0" w:after="283"/>
              <w:jc w:val="left"/>
              <w:rPr/>
            </w:pPr>
            <w:hyperlink w:anchor="s_001">
              <w:r>
                <w:rPr>
                  <w:rStyle w:val="InternetLink"/>
                </w:rPr>
                <w:t>ABOUT THIS PROSPECTUS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S-1</w:t>
            </w:r>
          </w:p>
        </w:tc>
      </w:tr>
      <w:tr>
        <w:trPr/>
        <w:tc>
          <w:tcPr>
            <w:tcW w:w="7400" w:type="dxa"/>
            <w:tcBorders/>
            <w:vAlign w:val="center"/>
          </w:tcPr>
          <w:p>
            <w:pPr>
              <w:pStyle w:val="TableContents"/>
              <w:bidi w:val="0"/>
              <w:spacing w:before="0" w:after="283"/>
              <w:jc w:val="left"/>
              <w:rPr/>
            </w:pPr>
            <w:hyperlink w:anchor="s_002">
              <w:r>
                <w:rPr>
                  <w:rStyle w:val="InternetLink"/>
                </w:rPr>
                <w:t>WHERE YOU CAN FIND MORE INFORMATION</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S-2</w:t>
            </w:r>
          </w:p>
        </w:tc>
      </w:tr>
      <w:tr>
        <w:trPr/>
        <w:tc>
          <w:tcPr>
            <w:tcW w:w="7400" w:type="dxa"/>
            <w:tcBorders/>
            <w:vAlign w:val="center"/>
          </w:tcPr>
          <w:p>
            <w:pPr>
              <w:pStyle w:val="TableContents"/>
              <w:bidi w:val="0"/>
              <w:spacing w:before="0" w:after="283"/>
              <w:jc w:val="left"/>
              <w:rPr/>
            </w:pPr>
            <w:hyperlink w:anchor="s_003">
              <w:r>
                <w:rPr>
                  <w:rStyle w:val="InternetLink"/>
                </w:rPr>
                <w:t>INCORPORATION OF CERTAIN INFORMATION BY REFERENCE</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S-3</w:t>
            </w:r>
          </w:p>
        </w:tc>
      </w:tr>
      <w:tr>
        <w:trPr/>
        <w:tc>
          <w:tcPr>
            <w:tcW w:w="7400" w:type="dxa"/>
            <w:tcBorders/>
            <w:vAlign w:val="center"/>
          </w:tcPr>
          <w:p>
            <w:pPr>
              <w:pStyle w:val="TableContents"/>
              <w:bidi w:val="0"/>
              <w:spacing w:before="0" w:after="283"/>
              <w:jc w:val="left"/>
              <w:rPr/>
            </w:pPr>
            <w:hyperlink w:anchor="s_004">
              <w:r>
                <w:rPr>
                  <w:rStyle w:val="InternetLink"/>
                </w:rPr>
                <w:t>SPECIAL NOTE REGARDING FORWARD-LOOKING STATEMENTS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S-5</w:t>
            </w:r>
          </w:p>
        </w:tc>
      </w:tr>
      <w:tr>
        <w:trPr/>
        <w:tc>
          <w:tcPr>
            <w:tcW w:w="7400" w:type="dxa"/>
            <w:tcBorders/>
            <w:vAlign w:val="center"/>
          </w:tcPr>
          <w:p>
            <w:pPr>
              <w:pStyle w:val="TableContents"/>
              <w:bidi w:val="0"/>
              <w:spacing w:before="0" w:after="283"/>
              <w:jc w:val="left"/>
              <w:rPr/>
            </w:pPr>
            <w:hyperlink w:anchor="s_005">
              <w:r>
                <w:rPr>
                  <w:rStyle w:val="InternetLink"/>
                </w:rPr>
                <w:t>PROSPECTUS SUPPLEMENT SUMMARY</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S-6</w:t>
            </w:r>
          </w:p>
        </w:tc>
      </w:tr>
      <w:tr>
        <w:trPr/>
        <w:tc>
          <w:tcPr>
            <w:tcW w:w="7400" w:type="dxa"/>
            <w:tcBorders/>
            <w:vAlign w:val="center"/>
          </w:tcPr>
          <w:p>
            <w:pPr>
              <w:pStyle w:val="TableContents"/>
              <w:bidi w:val="0"/>
              <w:spacing w:before="0" w:after="283"/>
              <w:jc w:val="left"/>
              <w:rPr/>
            </w:pPr>
            <w:hyperlink w:anchor="s_006">
              <w:r>
                <w:rPr>
                  <w:rStyle w:val="InternetLink"/>
                </w:rPr>
                <w:t>THE OFFERING</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S-9</w:t>
            </w:r>
          </w:p>
        </w:tc>
      </w:tr>
      <w:tr>
        <w:trPr/>
        <w:tc>
          <w:tcPr>
            <w:tcW w:w="7400" w:type="dxa"/>
            <w:tcBorders/>
            <w:vAlign w:val="center"/>
          </w:tcPr>
          <w:p>
            <w:pPr>
              <w:pStyle w:val="TableContents"/>
              <w:bidi w:val="0"/>
              <w:spacing w:before="0" w:after="283"/>
              <w:jc w:val="left"/>
              <w:rPr/>
            </w:pPr>
            <w:hyperlink w:anchor="s_007">
              <w:r>
                <w:rPr>
                  <w:rStyle w:val="InternetLink"/>
                </w:rPr>
                <w:t>RISK FACTORS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S-10</w:t>
            </w:r>
          </w:p>
        </w:tc>
      </w:tr>
      <w:tr>
        <w:trPr/>
        <w:tc>
          <w:tcPr>
            <w:tcW w:w="7400" w:type="dxa"/>
            <w:tcBorders/>
            <w:vAlign w:val="center"/>
          </w:tcPr>
          <w:p>
            <w:pPr>
              <w:pStyle w:val="TableContents"/>
              <w:bidi w:val="0"/>
              <w:spacing w:before="0" w:after="283"/>
              <w:jc w:val="left"/>
              <w:rPr/>
            </w:pPr>
            <w:hyperlink w:anchor="s_008">
              <w:r>
                <w:rPr>
                  <w:rStyle w:val="InternetLink"/>
                </w:rPr>
                <w:t>USE OF PROCEEDS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S-11</w:t>
            </w:r>
          </w:p>
        </w:tc>
      </w:tr>
      <w:tr>
        <w:trPr/>
        <w:tc>
          <w:tcPr>
            <w:tcW w:w="7400" w:type="dxa"/>
            <w:tcBorders/>
            <w:vAlign w:val="center"/>
          </w:tcPr>
          <w:p>
            <w:pPr>
              <w:pStyle w:val="TableContents"/>
              <w:bidi w:val="0"/>
              <w:spacing w:before="0" w:after="283"/>
              <w:jc w:val="left"/>
              <w:rPr/>
            </w:pPr>
            <w:hyperlink w:anchor="s_009">
              <w:r>
                <w:rPr>
                  <w:rStyle w:val="InternetLink"/>
                </w:rPr>
                <w:t>DIVIDEND POLICY</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S-11</w:t>
            </w:r>
          </w:p>
        </w:tc>
      </w:tr>
      <w:tr>
        <w:trPr/>
        <w:tc>
          <w:tcPr>
            <w:tcW w:w="7400" w:type="dxa"/>
            <w:tcBorders/>
            <w:vAlign w:val="center"/>
          </w:tcPr>
          <w:p>
            <w:pPr>
              <w:pStyle w:val="TableContents"/>
              <w:bidi w:val="0"/>
              <w:spacing w:before="0" w:after="283"/>
              <w:jc w:val="left"/>
              <w:rPr/>
            </w:pPr>
            <w:hyperlink w:anchor="s_010">
              <w:r>
                <w:rPr>
                  <w:rStyle w:val="InternetLink"/>
                </w:rPr>
                <w:t>DESCRIPTION OF SECURITIES WE ARE OFFERING</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S-11</w:t>
            </w:r>
          </w:p>
        </w:tc>
      </w:tr>
      <w:tr>
        <w:trPr/>
        <w:tc>
          <w:tcPr>
            <w:tcW w:w="7400" w:type="dxa"/>
            <w:tcBorders/>
            <w:vAlign w:val="center"/>
          </w:tcPr>
          <w:p>
            <w:pPr>
              <w:pStyle w:val="TableContents"/>
              <w:bidi w:val="0"/>
              <w:spacing w:before="0" w:after="283"/>
              <w:jc w:val="left"/>
              <w:rPr/>
            </w:pPr>
            <w:hyperlink w:anchor="s_011">
              <w:r>
                <w:rPr>
                  <w:rStyle w:val="InternetLink"/>
                </w:rPr>
                <w:t>DILUTION</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S-12</w:t>
            </w:r>
          </w:p>
        </w:tc>
      </w:tr>
      <w:tr>
        <w:trPr/>
        <w:tc>
          <w:tcPr>
            <w:tcW w:w="7400" w:type="dxa"/>
            <w:tcBorders/>
            <w:vAlign w:val="center"/>
          </w:tcPr>
          <w:p>
            <w:pPr>
              <w:pStyle w:val="TableContents"/>
              <w:bidi w:val="0"/>
              <w:spacing w:before="0" w:after="283"/>
              <w:jc w:val="left"/>
              <w:rPr/>
            </w:pPr>
            <w:hyperlink w:anchor="s_012">
              <w:r>
                <w:rPr>
                  <w:rStyle w:val="InternetLink"/>
                </w:rPr>
                <w:t>PLAN OF DISTRIBUTION</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S-14</w:t>
            </w:r>
          </w:p>
        </w:tc>
      </w:tr>
      <w:tr>
        <w:trPr/>
        <w:tc>
          <w:tcPr>
            <w:tcW w:w="7400" w:type="dxa"/>
            <w:tcBorders/>
            <w:vAlign w:val="center"/>
          </w:tcPr>
          <w:p>
            <w:pPr>
              <w:pStyle w:val="TableContents"/>
              <w:bidi w:val="0"/>
              <w:spacing w:before="0" w:after="283"/>
              <w:jc w:val="left"/>
              <w:rPr/>
            </w:pPr>
            <w:hyperlink w:anchor="s_013">
              <w:r>
                <w:rPr>
                  <w:rStyle w:val="InternetLink"/>
                </w:rPr>
                <w:t>LEGAL MATTERS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S-15</w:t>
            </w:r>
          </w:p>
        </w:tc>
      </w:tr>
      <w:tr>
        <w:trPr/>
        <w:tc>
          <w:tcPr>
            <w:tcW w:w="7400" w:type="dxa"/>
            <w:tcBorders/>
            <w:vAlign w:val="center"/>
          </w:tcPr>
          <w:p>
            <w:pPr>
              <w:pStyle w:val="TableContents"/>
              <w:bidi w:val="0"/>
              <w:spacing w:before="0" w:after="283"/>
              <w:jc w:val="left"/>
              <w:rPr/>
            </w:pPr>
            <w:hyperlink w:anchor="s_014">
              <w:r>
                <w:rPr>
                  <w:rStyle w:val="InternetLink"/>
                </w:rPr>
                <w:t>EXPERTS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S-15</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dealer, salesperson or other person is authorized to give any information or to represent anything not contained in this prospectus supplement or the accompanying base prospectus. You must not rely on any unauthorized information or representations. This prospectus supplement and the accompanying base prospectus are an offer to sell only the securities offered hereby, but only under circumstances and in jurisdictions where it is lawful to do so.</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prospectus supplement is accurate only as of the date on the front cover page of this prospectus supplement, or other earlier date stated in this prospectus supplement, regardless of the time of delivery of this prospectus supplement or of any sale of our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is being taken in any jurisdiction outside the United States to permit a public offering of our securities or possession or distribution of this prospectus supplement and the accompanying base prospectus in that jurisdiction. Persons who come into possession of this prospectus supplement in jurisdictions outside the United States are required to inform themselves about and to observe any restrictions as to this offering and the distribution of this prospectus supplement applicable to that jurisdiction.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20" w:name="s_001"/>
      <w:bookmarkEnd w:id="20"/>
      <w:r>
        <w:rPr>
          <w:rFonts w:ascii="Times New Roman;Times;Serif" w:hAnsi="Times New Roman;Times;Serif"/>
          <w:b/>
          <w:i w:val="false"/>
          <w:caps w:val="false"/>
          <w:smallCaps w:val="false"/>
          <w:sz w:val="20"/>
          <w:bdr w:val="single" w:sz="8" w:space="5" w:color="000000"/>
        </w:rPr>
        <w:t>ABOUT THIS PROSPECTUS</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This prospectus supplement and the accompanying prospectus form part of an automatic shelf registration statement on Form S-3ASR that we filed with the SEC as a “well-known seasoned issuer” as defined in Rule 405 under the Securities Act of 1933, as amended, utilizing a “shelf” registration process. This document consists of two parts. The first part is the prospectus supplement, including the documents incorporated by reference herein, which describes the specific terms of this offering. The second part, the accompanying prospectus, including the documents incorporated by reference therein, provides more general information. In general, when we refer only to the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the heading “Where You Can Find More Information.” These documents contain information you should carefully consider when deciding whether to invest in our securities.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This prospectus supplement may add, update or change information contained in the accompanying prospectus. To the extent there is a conflict between the information contained in this prospectus supplement and the accompanying prospectus, you should rely on information contained in this prospectus supplement, provided that if any statement in, or incorporated by reference into, one of these documents is inconsistent with a statement in another document having a later date, the statement in the document having the later date modifies or supersedes the earlier statement. Any statement so modified will be deemed to constitute a part of this prospectus supplement only as so modified, and any statement so superseded will be deemed not to constitute a part of this prospectus supplement.</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You should rely only on the information contained in this prospectus supplement, the accompanying prospectus, any document incorporated by reference herein or therein, or any free writing prospectuses we may provide to you in connection with this offering. Neither we nor the Agent have authorized anyone to provide you with any different information. We take no responsibility for and can provide no assurance as to the reliability of, any other information that others may provide to you. The information contained in this prospectus supplement, the accompanying prospectus, and in the documents incorporated by reference herein or therein is accurate only as of the date such information is presented. Our business, financial condition, results of operations and prospects may have changed since that date.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This prospectus supplement and the accompanying prospectus do not constitute an offer to sell or the solicitation of an offer to buy any securities other than the Shares to which it relates, nor does this prospectus supplement and the accompanying prospectus constitute an offer to sell or the solicitation of an offer to buy securities in any jurisdiction to any person to whom it is unlawful to make such offer or solicitation in such jurisdiction.</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Unless otherwise expressly indicated or the context otherwise requires, we use the terms “Z Squared,” the “Company,” “we,” “us,” “our” or similar references to refer to Z Squared Inc. together with any subsidiaries.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21" w:name="s_002"/>
      <w:bookmarkEnd w:id="21"/>
      <w:r>
        <w:rPr>
          <w:rFonts w:ascii="Times New Roman;Times;Serif" w:hAnsi="Times New Roman;Times;Serif"/>
          <w:b/>
          <w:i w:val="false"/>
          <w:caps w:val="false"/>
          <w:smallCaps w:val="false"/>
          <w:sz w:val="20"/>
          <w:bdr w:val="single" w:sz="8" w:space="5" w:color="000000"/>
        </w:rPr>
        <w:t>WHERE YOU CAN FIND MORE INFORMATION</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filed with the SEC a registration statement on Form S-3ASR under the Securities Act of 1933, as amended (the “Securities Act”). We also file annual, quarterly and current reports, proxy statements and other information with the SEC. You can read and copy any document that we file with the SEC, including the registration statement and exhibits to the registration statement, over the internet at the SEC’s website at </w:t>
      </w:r>
      <w:r>
        <w:rPr>
          <w:rFonts w:ascii="Times New Roman;Times;Serif" w:hAnsi="Times New Roman;Times;Serif"/>
          <w:b w:val="false"/>
          <w:i/>
          <w:caps w:val="false"/>
          <w:smallCaps w:val="false"/>
          <w:sz w:val="20"/>
          <w:bdr w:val="single" w:sz="8" w:space="5" w:color="000000"/>
        </w:rPr>
        <w:t>www.sec.gov</w:t>
      </w:r>
      <w:r>
        <w:rPr>
          <w:rFonts w:ascii="Times New Roman;Times;Serif" w:hAnsi="Times New Roman;Times;Serif"/>
          <w:b w:val="false"/>
          <w:i w:val="false"/>
          <w:caps w:val="false"/>
          <w:smallCaps w:val="false"/>
          <w:sz w:val="20"/>
          <w:bdr w:val="single" w:sz="8" w:space="5" w:color="000000"/>
        </w:rPr>
        <w:t>.</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These documents may also be accessed on our web site athttps://ir.zsquaredinc.com/. Information contained on our web site is not incorporated by reference into this prospectus supplement or the accompanying prospectus and you should not consider information contained on our web site to be part of this prospectus supplement or the accompanying prospectus. Information contained on or accessible through our website is not a part of this prospectus supplement, and the inclusion of our website address in this prospectus is an inactive textual reference only.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This prospectus supplement and the accompanying prospectus are part of a registration statement filed with the SEC and do not contain all of the information in the registration statement. The full registration statement may be obtained from the SEC or us as indicated above. Other documents establishing the terms of the securities offered are filed as exhibits to the registration statement or will be filed through an amendment to our registration statement on Form S-3ASR or under cover of a Current Report on Form 8-K and incorporated into this prospectus supplement by reference.</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22" w:name="s_003"/>
      <w:bookmarkEnd w:id="22"/>
      <w:r>
        <w:rPr>
          <w:rFonts w:ascii="Times New Roman;Times;Serif" w:hAnsi="Times New Roman;Times;Serif"/>
          <w:b/>
          <w:i w:val="false"/>
          <w:caps w:val="false"/>
          <w:smallCaps w:val="false"/>
          <w:sz w:val="20"/>
          <w:bdr w:val="single" w:sz="8" w:space="5" w:color="000000"/>
        </w:rPr>
        <w:t>INCORPORATION OF CERTAIN INFORMATION BY REFERENCE</w:t>
      </w:r>
    </w:p>
    <w:p>
      <w:pPr>
        <w:pStyle w:val="TextBody"/>
        <w:bidi w:val="0"/>
        <w:ind w:left="7"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SEC allows us to “incorporate by reference” into this prospectus supplement and the accompanying prospectus the information we file with it, which means that we can disclose important information to you by referring you to those documents. The information incorporated by reference is considered to be part of this prospectus supplement and the accompanying prospectus. 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incorporate by reference in this prospectus supplement and the accompanying prospectus the following information (other than, in each case, documents or information deemed to have been furnished and not filed in accordance with SEC rules):</w:t>
      </w:r>
    </w:p>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our Annual Report on </w:t>
            </w:r>
            <w:hyperlink r:id="rId20">
              <w:r>
                <w:rPr>
                  <w:rStyle w:val="InternetLink"/>
                  <w:rFonts w:ascii="Times New Roman;Times;Serif" w:hAnsi="Times New Roman;Times;Serif"/>
                  <w:sz w:val="20"/>
                </w:rPr>
                <w:t>Form 10-K</w:t>
              </w:r>
            </w:hyperlink>
            <w:r>
              <w:rPr>
                <w:rFonts w:ascii="Times New Roman;Times;Serif" w:hAnsi="Times New Roman;Times;Serif"/>
                <w:sz w:val="20"/>
              </w:rPr>
              <w:t> for the fiscal year ended December 31, 2025, filed with the SEC on March 19, 2026 (the “2025 Form 10-K”);</w:t>
            </w:r>
          </w:p>
        </w:tc>
      </w:tr>
    </w:tbl>
    <w:p>
      <w:pPr>
        <w:pStyle w:val="TextBody"/>
        <w:shd w:fill="FFFFFF" w:val="clear"/>
        <w:bidi w:val="0"/>
        <w:ind w:left="720" w:right="0" w:hanging="36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our Quarterly Report on </w:t>
            </w:r>
            <w:hyperlink r:id="rId21">
              <w:r>
                <w:rPr>
                  <w:rStyle w:val="InternetLink"/>
                  <w:rFonts w:ascii="Times New Roman;Times;Serif" w:hAnsi="Times New Roman;Times;Serif"/>
                  <w:sz w:val="20"/>
                </w:rPr>
                <w:t>Form 10-Q</w:t>
              </w:r>
            </w:hyperlink>
            <w:r>
              <w:rPr>
                <w:rFonts w:ascii="Times New Roman;Times;Serif" w:hAnsi="Times New Roman;Times;Serif"/>
                <w:sz w:val="20"/>
              </w:rPr>
              <w:t> for the quarterly period ended March 31, 2026, filed with the SEC on May 15, 2026 (the “Q1 2026 Form 10-Q”);</w:t>
            </w:r>
          </w:p>
        </w:tc>
      </w:tr>
    </w:tbl>
    <w:p>
      <w:pPr>
        <w:pStyle w:val="TextBody"/>
        <w:shd w:fill="FFFFFF" w:val="clear"/>
        <w:bidi w:val="0"/>
        <w:ind w:left="720" w:right="0" w:hanging="36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our Current Report on </w:t>
            </w:r>
            <w:hyperlink r:id="rId22">
              <w:r>
                <w:rPr>
                  <w:rStyle w:val="InternetLink"/>
                  <w:rFonts w:ascii="Times New Roman;Times;Serif" w:hAnsi="Times New Roman;Times;Serif"/>
                  <w:sz w:val="20"/>
                </w:rPr>
                <w:t>Form 8-K</w:t>
              </w:r>
            </w:hyperlink>
            <w:r>
              <w:rPr>
                <w:rFonts w:ascii="Times New Roman;Times;Serif" w:hAnsi="Times New Roman;Times;Serif"/>
                <w:sz w:val="20"/>
              </w:rPr>
              <w:t> filed with the SEC on April 30, 2026, and Amendment No. 1 to our Current Report on </w:t>
            </w:r>
            <w:hyperlink r:id="rId23">
              <w:r>
                <w:rPr>
                  <w:rStyle w:val="InternetLink"/>
                  <w:rFonts w:ascii="Times New Roman;Times;Serif" w:hAnsi="Times New Roman;Times;Serif"/>
                  <w:sz w:val="20"/>
                </w:rPr>
                <w:t>Form 8-K/A</w:t>
              </w:r>
            </w:hyperlink>
            <w:r>
              <w:rPr>
                <w:rFonts w:ascii="Times New Roman;Times;Serif" w:hAnsi="Times New Roman;Times;Serif"/>
                <w:sz w:val="20"/>
              </w:rPr>
              <w:t> filed with the SEC on June 1, 2026, in each case reporting the Business Combination and related transactions and including the description of our business, the audited consolidated financial statements of Z Squared OpCo Inc. as of and for the fiscal years ended December 31, 2025 and 2024 (together with the report of Stephano Slack LLC, including the going concern explanatory paragraph), the related management’s discussion and analysis, and the unaudited pro forma condensed combined financial information prepared in accordance with Article 11 of Regulation S-X giving effect to the Business Combination;</w:t>
            </w:r>
          </w:p>
        </w:tc>
      </w:tr>
    </w:tbl>
    <w:p>
      <w:pPr>
        <w:pStyle w:val="TextBody"/>
        <w:shd w:fill="FFFFFF" w:val="clear"/>
        <w:bidi w:val="0"/>
        <w:ind w:left="720" w:right="0" w:hanging="36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rPr>
              <w:t>our Current Reports on Form 8-K filed with the SEC on </w:t>
            </w:r>
            <w:hyperlink r:id="rId24">
              <w:r>
                <w:rPr>
                  <w:rStyle w:val="InternetLink"/>
                  <w:rFonts w:ascii="Times New Roman;Times;Serif" w:hAnsi="Times New Roman;Times;Serif"/>
                </w:rPr>
                <w:t>January 16, 2026</w:t>
              </w:r>
            </w:hyperlink>
            <w:r>
              <w:rPr>
                <w:rFonts w:ascii="Times New Roman;Times;Serif" w:hAnsi="Times New Roman;Times;Serif"/>
              </w:rPr>
              <w:t>, </w:t>
            </w:r>
            <w:hyperlink r:id="rId25">
              <w:r>
                <w:rPr>
                  <w:rStyle w:val="InternetLink"/>
                  <w:rFonts w:ascii="Times New Roman;Times;Serif" w:hAnsi="Times New Roman;Times;Serif"/>
                </w:rPr>
                <w:t>February 4, 2026</w:t>
              </w:r>
            </w:hyperlink>
            <w:r>
              <w:rPr>
                <w:rFonts w:ascii="Times New Roman;Times;Serif" w:hAnsi="Times New Roman;Times;Serif"/>
              </w:rPr>
              <w:t>, </w:t>
            </w:r>
            <w:hyperlink r:id="rId26">
              <w:r>
                <w:rPr>
                  <w:rStyle w:val="InternetLink"/>
                  <w:rFonts w:ascii="Times New Roman;Times;Serif" w:hAnsi="Times New Roman;Times;Serif"/>
                </w:rPr>
                <w:t>February 12, 2026</w:t>
              </w:r>
            </w:hyperlink>
            <w:r>
              <w:rPr>
                <w:rFonts w:ascii="Times New Roman;Times;Serif" w:hAnsi="Times New Roman;Times;Serif"/>
              </w:rPr>
              <w:t>, </w:t>
            </w:r>
            <w:hyperlink r:id="rId27">
              <w:r>
                <w:rPr>
                  <w:rStyle w:val="InternetLink"/>
                  <w:rFonts w:ascii="Times New Roman;Times;Serif" w:hAnsi="Times New Roman;Times;Serif"/>
                </w:rPr>
                <w:t>April 8, 2026</w:t>
              </w:r>
            </w:hyperlink>
            <w:r>
              <w:rPr>
                <w:rFonts w:ascii="Times New Roman;Times;Serif" w:hAnsi="Times New Roman;Times;Serif"/>
              </w:rPr>
              <w:t>, </w:t>
            </w:r>
            <w:hyperlink r:id="rId28">
              <w:r>
                <w:rPr>
                  <w:rStyle w:val="InternetLink"/>
                  <w:rFonts w:ascii="Times New Roman;Times;Serif" w:hAnsi="Times New Roman;Times;Serif"/>
                </w:rPr>
                <w:t>April 24, 2026</w:t>
              </w:r>
            </w:hyperlink>
            <w:r>
              <w:rPr>
                <w:rFonts w:ascii="Times New Roman;Times;Serif" w:hAnsi="Times New Roman;Times;Serif"/>
              </w:rPr>
              <w:t>, </w:t>
            </w:r>
            <w:hyperlink r:id="rId29">
              <w:r>
                <w:rPr>
                  <w:rStyle w:val="InternetLink"/>
                  <w:rFonts w:ascii="Times New Roman;Times;Serif" w:hAnsi="Times New Roman;Times;Serif"/>
                </w:rPr>
                <w:t>April 28, 2026</w:t>
              </w:r>
            </w:hyperlink>
            <w:r>
              <w:rPr>
                <w:rFonts w:ascii="Times New Roman;Times;Serif" w:hAnsi="Times New Roman;Times;Serif"/>
              </w:rPr>
              <w:t>, </w:t>
            </w:r>
            <w:hyperlink r:id="rId30">
              <w:r>
                <w:rPr>
                  <w:rStyle w:val="InternetLink"/>
                  <w:rFonts w:ascii="Times New Roman;Times;Serif" w:hAnsi="Times New Roman;Times;Serif"/>
                </w:rPr>
                <w:t>May 1, 2026</w:t>
              </w:r>
            </w:hyperlink>
            <w:r>
              <w:rPr>
                <w:rFonts w:ascii="Times New Roman;Times;Serif" w:hAnsi="Times New Roman;Times;Serif"/>
              </w:rPr>
              <w:t>, </w:t>
            </w:r>
            <w:hyperlink r:id="rId31">
              <w:r>
                <w:rPr>
                  <w:rStyle w:val="InternetLink"/>
                  <w:rFonts w:ascii="Times New Roman;Times;Serif" w:hAnsi="Times New Roman;Times;Serif"/>
                </w:rPr>
                <w:t>May 21, 2026</w:t>
              </w:r>
            </w:hyperlink>
            <w:r>
              <w:rPr>
                <w:rFonts w:ascii="Times New Roman;Times;Serif" w:hAnsi="Times New Roman;Times;Serif"/>
              </w:rPr>
              <w:t>, </w:t>
            </w:r>
            <w:hyperlink r:id="rId32">
              <w:r>
                <w:rPr>
                  <w:rStyle w:val="InternetLink"/>
                  <w:rFonts w:ascii="Times New Roman;Times;Serif" w:hAnsi="Times New Roman;Times;Serif"/>
                </w:rPr>
                <w:t>May 22, 2026</w:t>
              </w:r>
            </w:hyperlink>
            <w:r>
              <w:rPr>
                <w:rFonts w:ascii="Times New Roman;Times;Serif" w:hAnsi="Times New Roman;Times;Serif"/>
              </w:rPr>
              <w:t xml:space="preserve">, </w:t>
            </w:r>
            <w:hyperlink r:id="rId33">
              <w:r>
                <w:rPr>
                  <w:rStyle w:val="InternetLink"/>
                  <w:rFonts w:ascii="Times New Roman;Times;Serif" w:hAnsi="Times New Roman;Times;Serif"/>
                </w:rPr>
                <w:t>June 4, 2026</w:t>
              </w:r>
            </w:hyperlink>
            <w:r>
              <w:rPr>
                <w:rFonts w:ascii="Times New Roman;Times;Serif" w:hAnsi="Times New Roman;Times;Serif"/>
              </w:rPr>
              <w:t xml:space="preserve"> and </w:t>
            </w:r>
            <w:hyperlink r:id="rId34">
              <w:r>
                <w:rPr>
                  <w:rStyle w:val="InternetLink"/>
                  <w:rFonts w:ascii="Times New Roman;Times;Serif" w:hAnsi="Times New Roman;Times;Serif"/>
                </w:rPr>
                <w:t>June 26, 2026</w:t>
              </w:r>
            </w:hyperlink>
            <w:r>
              <w:rPr>
                <w:rFonts w:ascii="Times New Roman;Times;Serif" w:hAnsi="Times New Roman;Times;Serif"/>
              </w:rPr>
              <w:t xml:space="preserve"> (excluding, in each case, any information furnished under Item 2.02 or Item 7.01 and any related exhibits furnished under Item 9.01); and</w:t>
            </w:r>
          </w:p>
        </w:tc>
      </w:tr>
    </w:tbl>
    <w:p>
      <w:pPr>
        <w:pStyle w:val="TextBody"/>
        <w:shd w:fill="FFFFFF" w:val="clear"/>
        <w:bidi w:val="0"/>
        <w:ind w:left="720" w:right="0" w:hanging="36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the description of our securities set forth under the heading “</w:t>
            </w:r>
            <w:r>
              <w:fldChar w:fldCharType="begin"/>
            </w:r>
            <w:r>
              <w:rPr>
                <w:rStyle w:val="InternetLink"/>
                <w:sz w:val="20"/>
                <w:rFonts w:ascii="Times New Roman;Times;Serif" w:hAnsi="Times New Roman;Times;Serif"/>
              </w:rPr>
              <w:instrText xml:space="preserve"> HYPERLINK "http://www.sec.gov/Archives/edgar/data/1759186/000168316826003388/zsquared_8k.htm" \l "a_011"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Description of Capital Stock</w:t>
            </w:r>
            <w:r>
              <w:rPr>
                <w:rStyle w:val="InternetLink"/>
                <w:sz w:val="20"/>
                <w:rFonts w:ascii="Times New Roman;Times;Serif" w:hAnsi="Times New Roman;Times;Serif"/>
              </w:rPr>
              <w:fldChar w:fldCharType="end"/>
            </w:r>
            <w:r>
              <w:rPr>
                <w:rFonts w:ascii="Times New Roman;Times;Serif" w:hAnsi="Times New Roman;Times;Serif"/>
                <w:sz w:val="20"/>
              </w:rPr>
              <w:t>” in our Current Report on </w:t>
            </w:r>
            <w:hyperlink r:id="rId35">
              <w:r>
                <w:rPr>
                  <w:rStyle w:val="InternetLink"/>
                  <w:rFonts w:ascii="Times New Roman;Times;Serif" w:hAnsi="Times New Roman;Times;Serif"/>
                  <w:sz w:val="20"/>
                </w:rPr>
                <w:t>Form 8-K</w:t>
              </w:r>
            </w:hyperlink>
            <w:r>
              <w:rPr>
                <w:rFonts w:ascii="Times New Roman;Times;Serif" w:hAnsi="Times New Roman;Times;Serif"/>
                <w:sz w:val="20"/>
              </w:rPr>
              <w:t> filed with the SEC on April 30, 2026, including any amendment or report filed for the purpose of updating that description.</w:t>
            </w:r>
          </w:p>
        </w:tc>
      </w:tr>
    </w:tbl>
    <w:p>
      <w:pPr>
        <w:pStyle w:val="TextBody"/>
        <w:shd w:fill="FFFFFF" w:val="clear"/>
        <w:bidi w:val="0"/>
        <w:ind w:left="720" w:right="0" w:hanging="36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ind w:left="720" w:right="0" w:hanging="360"/>
        <w:jc w:val="both"/>
        <w:rPr>
          <w:caps w:val="false"/>
          <w:smallCaps w:val="false"/>
        </w:rPr>
      </w:pPr>
      <w:r>
        <w:rPr>
          <w:caps w:val="false"/>
          <w:smallCaps w:val="false"/>
        </w:rPr>
        <w:t> </w:t>
      </w:r>
    </w:p>
    <w:p>
      <w:pPr>
        <w:pStyle w:val="TextBody"/>
        <w:shd w:fill="FFFFFF" w:val="clear"/>
        <w:bidi w:val="0"/>
        <w:ind w:left="720" w:right="0" w:hanging="36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addition, all documents subsequently filed by us pursuant to Sections 13(a), 13(c), 14, or 15(d) of the Exchange Act after the date of this Post-Effective Amendment and prior to effectiveness of this Post-Effective Amendment, and all such documents filed after the date of this prospectus and prior to the termination or completion of the offering of the Shares hereunder (in each case, excluding any information furnished rather than filed), shall be deemed to be incorporated by reference into this prospectus and to be a part hereof from the respective dates of filing of such documents. Any statement contained in this prospectus or in a document incorporated or deemed incorporated by reference shall be deemed modified or superseded to the extent that a statement contained herein or in any subsequently filed document modifies or supersedes such statement.</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will provide to each person, including any beneficial owner, to whom a prospectus is delivered, without charge, upon written or oral request, a copy of any or all of the documents incorporated by reference in this prospectus supplement, other than exhibits to those documents unless the exhibits are specifically incorporated by reference into those documents. Requests should be directed to:</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Z Squared Inc.</w:t>
      </w:r>
    </w:p>
    <w:p>
      <w:pPr>
        <w:pStyle w:val="TextBody"/>
        <w:bidi w:val="0"/>
        <w:jc w:val="center"/>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550 South Andrews Ave. Ste #700</w:t>
      </w:r>
    </w:p>
    <w:p>
      <w:pPr>
        <w:pStyle w:val="TextBody"/>
        <w:bidi w:val="0"/>
        <w:jc w:val="center"/>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Fort Lauderdale, Florida 33301</w:t>
      </w:r>
    </w:p>
    <w:p>
      <w:pPr>
        <w:pStyle w:val="TextBody"/>
        <w:bidi w:val="0"/>
        <w:jc w:val="center"/>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Attn: Corporate Secretary</w:t>
      </w:r>
    </w:p>
    <w:p>
      <w:pPr>
        <w:pStyle w:val="TextBody"/>
        <w:bidi w:val="0"/>
        <w:jc w:val="center"/>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(954) 400-9994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These documents are also available through the SEC’s website at www.sec.gov and on our website at www.zsquaredinc.com.</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23" w:name="s_004"/>
      <w:bookmarkEnd w:id="23"/>
      <w:r>
        <w:rPr>
          <w:rFonts w:ascii="Times New Roman;Times;Serif" w:hAnsi="Times New Roman;Times;Serif"/>
          <w:b/>
          <w:i w:val="false"/>
          <w:caps w:val="false"/>
          <w:smallCaps w:val="false"/>
          <w:sz w:val="20"/>
          <w:bdr w:val="single" w:sz="8" w:space="5" w:color="000000"/>
        </w:rPr>
        <w:t>SPECIAL NOTE REGARDING FORWARD-LOOKING STATEMENTS</w:t>
      </w:r>
    </w:p>
    <w:p>
      <w:pPr>
        <w:pStyle w:val="TextBody"/>
        <w:bidi w:val="0"/>
        <w:ind w:left="7" w:right="0" w:hanging="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This registration statement, of which this prospectus forms a part, contains forward-looking statements within the meaning of Section 27A of the Securities Act, and Section 21E of the Exchange Act. All statements other than statements of historical fact contained herein, including statements regarding our business plans or strategies, projected or anticipated benefits or other consequences of our plans or strategies are forward-looking statements. Words such as “anticipates,” “assumes,” “believes,” “can,” “could,” “estimates,” “expects,” “forecasts,” “guides,” “intends,” “is confident that,” “may,” “plans,” “seeks,” “projects,” “targets,” and “would,” and their opposites and similar expressions, as well as statements in future tense, are intended to identify forward-looking statements. Forward-looking statements should not be read as a guarantee of future performance or results and may not be accurate indications of when such performance or results will actually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continue as a going concern and to obtain the financing necessary to fund our operations and growth strategy;</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need to raise additional capital, which may not be available on acceptable terms or at all, including under the SEPA;</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volatility in the prices of Dogecoin, Litecoin, and other digital assets, and in the price of our Common Stock, due to changes in the capital markets, our industry, or our capital structure;</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operate our digital asset mining infrastructure profitably, including in periods in which prevailing Dogecoin prices are below our estimated breakeven level, and the effect of changes in network difficulty, hash rate, and energy costs on our mining output and margins;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anticipated performance and useful life of our ASIC mining hardware fleet, the assumptions underlying the valuation of that fleet, and our plans for hardware upgrades or replacement;</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execute our strategy to expand into AI, high-density compute, data center, and power generation infrastructure, including our “acquire-and-convert” strategy and our publicly announced goal of developing approximately 100 MW of AI-ready inference capacity over an approximately 18-month period;</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execute on our acquisition strategy and integrate acquired businesses and assets successfully, including the proposed acquisition of SkyCore Digital LLC (“SkyCore”), and to consummate the related financing;</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dependence on Minting Dome Inc. (“Minting Dome”) as our sole provider of hosting, power, and infrastructure services under our master services agreement, and the effect of any change in, or termination of, that arrangement;</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relating to the custody of our digital assets, including our reliance on third-party custodians;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remediate the material weakness in our internal control over financial reporting and to maintain effective internal control and disclosure controls and procedures;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retain key personnel and effectively manage growth;</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future sales of our Common Stock by the Selling Securityholders, including the former members of BSG Series CM, LLC (“BSG”), the lock-up and leak-out restrictions to which those shares are subject, and any effect on us of the pending SEC enforcement action to which BSG, our former principal stockholder, is a party;</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dilutive effect of issuances of our Common Stock to Yorkville under the SEPA and the effect of resales of those shares on the market price of our Common Stock;</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the digital asset mining and computing infrastructure industries, including competition, cyclicality, technological change, and concentration;</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economic conditions, inflation, and interest rate trends on our operations;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regulatory environment applicable to cryptocurrency mining, computing infrastructure, and power generation in the United States;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disruptions due to cybersecurity incidents or system failures;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legal proceedings and compliance obligations;</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our Common Stock on the Nasdaq Global Market; and</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described in this prospectus, including those under the section entitled “Risk Factors,” and in the documents incorporated by reference herein, including our Annual Report on Form 10-K, our Quarterly Reports on Form 10-Q, and our Current Reports on Form 8-K.</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Should one or more of these risks or uncertainties materialize or should any of the assumptions made by the management of the Company prove incorrect, actual results may vary in material respects from those projected in these forward-looking statements.</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Except to the extent required by applicable law or regulation, the Company undertakes no obligation to update these forward-looking statements to reflect events or circumstances after the date hereof or to reflect the occurrence of unanticipated events.</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24" w:name="s_005"/>
      <w:bookmarkEnd w:id="24"/>
      <w:r>
        <w:rPr>
          <w:rFonts w:ascii="Times New Roman;Times;Serif" w:hAnsi="Times New Roman;Times;Serif"/>
          <w:b/>
          <w:i w:val="false"/>
          <w:caps w:val="false"/>
          <w:smallCaps w:val="false"/>
          <w:sz w:val="20"/>
          <w:bdr w:val="single" w:sz="8" w:space="5" w:color="000000"/>
        </w:rPr>
        <w:t>PROSPECTUS SUPPLEMENT SUMMARY</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This summary contains basic information about us and this offering. Because it is a summary, it does not contain all of the information that you should consider before deciding to invest in our securities. Before you decide to invest in our securities, you should read this entire prospectus supplement and the accompanying prospectus carefully, any related free writing prospectus that we have authorized for use in connection with the offering and the documents incorporated by reference herein, including the information under the heading “Risk Factors.”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lineRule="auto" w:line="276"/>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Overview</w:t>
      </w:r>
      <w:r>
        <w:rPr>
          <w:rFonts w:ascii="Times New Roman;Times;Serif" w:hAnsi="Times New Roman;Times;Serif"/>
          <w:b/>
          <w:i w:val="false"/>
          <w:caps w:val="false"/>
          <w:smallCaps w:val="false"/>
          <w:position w:val="7"/>
          <w:sz w:val="16"/>
          <w:sz w:val="20"/>
          <w:bdr w:val="single" w:sz="8" w:space="5" w:color="000000"/>
        </w:rPr>
        <w:t>2</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Z Squared Inc. (“Z Squared,” the “Company,” “we,” “us,” or “our”) is a computing and digital infrastructure company. Our current operations consist primarily of digital asset mining focused on the generation of Dogecoin (DOGE) and Litecoin (LTC) through merged mining using Scrypt-algorithm ASIC hardware, conducted across six mining facilities located in North Carolina, South Carolina, and Iowa.</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pursuing a strategic expansion of our business beyond digital asset mining and into artificial intelligence (AI) and high-density compute (HPC) infrastructure, data center development, and power generation. As the initial phase of this strategy, we have publicly announced a goal of developing approximately 100 MW of AI-ready inference capacity over an approximately 18-month period, which we intend to pursue principally through an “acquire-and-convert” strategy of acquiring existing sites and power and infrastructure assets and converting or developing them to support AI, HPC, and data center operations. We have limited or no operating history in these expansion business lines, and there can be no assurance that we will implement this strategy successfully or at all, or that it will achieve the results we anticipate.</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Following the completion of the business combination described below (the “Business Combination”) on April 24, 2026, Coeptis Therapeutics Holdings, Inc. (“Coeptis”) changed its corporate name to Z Squared Inc. on April 27, 2026, and our Common Stock began trading on the Nasdaq Global Market under the symbol “ZSQR” on April 27, 2026 (previously trading under the symbol “COEP”). Our principal executive offices are located at 550 South Andrews Ave., Suite 700, Fort Lauderdale, Florida 33301; telephone: (954) 400-9994.</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mining hardware fleet consists of 9,800 operational ASIC miners, including 8,228 Bitmain Antminer L7 units, 849 Bitmain Antminer L9 units, and 723 ElphaPex DG1+ units, which we acquired from BSG Series CM, LLC, a South Carolina limited liability company (“BSG”), at the closing of the Business Combination on April 24, 2026.</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independent registered public accounting firm has expressed substantial doubt about our ability to continue as a going concern, and we expect to require substantial additional capital to fund the deployment and operation of our mining fleet. See “Risk Factors — Risks Related to Our Financial Condition and Going Concern.” </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Common Stock is listed on the Nasdaq Global Market under the symbol “ZSQR.” Our principal executive offices are located at 550 South Andrews Ave., Suite 700, Fort Lauderdale, Florida 33301; telephone (954) 400-9994.</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Business Combination</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Merger Agreement and the Merger.</w:t>
      </w:r>
      <w:r>
        <w:rPr>
          <w:rFonts w:ascii="Times New Roman;Times;Serif" w:hAnsi="Times New Roman;Times;Serif"/>
          <w:b w:val="false"/>
          <w:i w:val="false"/>
          <w:caps w:val="false"/>
          <w:smallCaps w:val="false"/>
          <w:sz w:val="20"/>
          <w:bdr w:val="single" w:sz="8" w:space="5" w:color="000000"/>
        </w:rPr>
        <w:t> On April 25, 2025, Coeptis Therapeutics Holdings, Inc., a Delaware corporation (“Coeptis”), CP Merger Sub, Inc., a Wyoming corporation and wholly-owned direct subsidiary of Coeptis (“Merger Sub”), and Z Squared Inc., a Wyoming corporation, entered into an Agreement and Plan of Merger (as amended, the “Merger Agreement”). Pursuant to the Merger Agreement, on April 24, 2026 (the “Closing Date”), Merger Sub merged with and into the Wyoming Z Squared entity, which survived as a wholly-owned subsidiary of Coeptis and, pursuant to the articles of merger, changed its name to Z Squared OpCo Inc. (“OpCo”) (the “Business Combination”). On April 27, 2026, Coeptis amended its certificate of incorporation to change its corporate name to Z Squared Inc. (the post-Business Combination public parent company, referred to herein as the “Company,” “we,” “us,” or “our”), and on the same date the trading symbol for our Common Stock on the Nasdaq Global Market changed from “COEP” to “ZSQR.”</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Merger Consideration.</w:t>
      </w:r>
      <w:r>
        <w:rPr>
          <w:rFonts w:ascii="Times New Roman;Times;Serif" w:hAnsi="Times New Roman;Times;Serif"/>
          <w:b w:val="false"/>
          <w:i w:val="false"/>
          <w:caps w:val="false"/>
          <w:smallCaps w:val="false"/>
          <w:sz w:val="20"/>
          <w:bdr w:val="single" w:sz="8" w:space="5" w:color="000000"/>
        </w:rPr>
        <w:t> At the effective time of the Business Combination (the “Effective Time”), the former stockholders of OpCo received, in the aggregate, 43,877,497 shares of our Common Stock, representing the “Applicable Percentage” (as defined in the Merger Agreement) of our issued and outstanding Common Stock, calculated on a fully-diluted basis as provided in the Merger Agreement. The Business Combination was intended to qualify as a tax-free reorganization within the meaning of Section 368(a) of the Internal Revenue Code of 1986, as amended.</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bdr w:val="single" w:sz="8" w:space="1" w:color="000000"/>
        </w:rPr>
      </w:pPr>
      <w:r>
        <w:rPr>
          <w:bdr w:val="single" w:sz="8" w:space="1" w:color="000000"/>
        </w:rPr>
        <w:t> </w:t>
      </w:r>
    </w:p>
    <w:tbl>
      <w:tblPr>
        <w:tblW w:w="1608" w:type="dxa"/>
        <w:jc w:val="left"/>
        <w:tblInd w:w="0" w:type="dxa"/>
        <w:tblLayout w:type="fixed"/>
        <w:tblCellMar>
          <w:top w:w="0" w:type="dxa"/>
          <w:left w:w="0" w:type="dxa"/>
          <w:bottom w:w="0" w:type="dxa"/>
          <w:right w:w="0" w:type="dxa"/>
        </w:tblCellMar>
      </w:tblPr>
      <w:tblGrid>
        <w:gridCol w:w="38"/>
        <w:gridCol w:w="11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lineRule="auto" w:line="276"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4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be updated.</w:t>
            </w:r>
          </w:p>
        </w:tc>
      </w:tr>
    </w:tbl>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Shares Outstanding.</w:t>
      </w:r>
      <w:r>
        <w:rPr>
          <w:rFonts w:ascii="Times New Roman;Times;Serif" w:hAnsi="Times New Roman;Times;Serif"/>
          <w:b w:val="false"/>
          <w:i w:val="false"/>
          <w:caps w:val="false"/>
          <w:smallCaps w:val="false"/>
          <w:sz w:val="20"/>
          <w:bdr w:val="single" w:sz="8" w:space="5" w:color="000000"/>
        </w:rPr>
        <w:t> Following the Effective Time, we had 51,431,493 shares of Common Stock issued and outstanding.</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Accounting Treatment.</w:t>
      </w:r>
      <w:r>
        <w:rPr>
          <w:rFonts w:ascii="Times New Roman;Times;Serif" w:hAnsi="Times New Roman;Times;Serif"/>
          <w:b w:val="false"/>
          <w:i w:val="false"/>
          <w:caps w:val="false"/>
          <w:smallCaps w:val="false"/>
          <w:sz w:val="20"/>
          <w:bdr w:val="single" w:sz="8" w:space="5" w:color="000000"/>
        </w:rPr>
        <w:t> The Business Combination is accounted for as a reverse merger under U.S. GAAP (ASC 805-40), with OpCo treated as the accounting acquirer for financial reporting purposes. Accordingly, the historical financial statements of OpCo, rather than those of Coeptis, are the historical financial statements of the Company for periods prior to the Business Combination, and our consolidated financial statements following the Business Combination reflect the assets, liabilities, and operations of OpCo, together with the operations of the combined company from the Closing Date. The audited financial statements and related management’s discussion and analysis of OpCo, and the unaudited pro forma condensed combined financial information giving effect to the Business Combination, are incorporated by reference herein from our Current Report on Form 8-K/A. Our Quarterly Report on Form 10-Q for the quarter ended March 31, 2026 reflects Coeptis on a standalone, pre-Business Combination basis and does not consolidate OpCo. As a result of the issuance of our Common Stock in the Business Combination, a change of control of the Company occurred on the Closing Date.</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 a more complete description of the Business Combination, our corporate history, and our business operations, see “Incorporation of Certain Information by Reference” and “Where You Can Find More Information.”</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Asset Contribution and the BSG Distribution.</w:t>
      </w:r>
      <w:r>
        <w:rPr>
          <w:rFonts w:ascii="Times New Roman;Times;Serif" w:hAnsi="Times New Roman;Times;Serif"/>
          <w:b w:val="false"/>
          <w:i w:val="false"/>
          <w:caps w:val="false"/>
          <w:smallCaps w:val="false"/>
          <w:sz w:val="20"/>
          <w:bdr w:val="single" w:sz="8" w:space="5" w:color="000000"/>
        </w:rPr>
        <w:t> In connection with the Business Combination, BSG Series CM, LLC, a South Carolina limited liability company (“BSG”), contributed to OpCo a fleet of 9,800 ASIC miners pursuant to the Amended and Restated Asset-For-Share Exchange Agreement, dated June 24, 2025, between BSG Series CM, LLC and Z Squared Inc., as amended by the First Amendment to the Amended and Restated Asset-For-Share Exchange Agreement, dated February 10, 2026, as further amended by the Second Amendment to the Amended and Restated Asset-For-Share Exchange Agreement, between BSG Series CM, LLC and Z Squared Inc. dated April 23, 2026 (the “AFSA”) in exchange for shares of OpCo common stock. The AFSA ascribed a value of $660,300,000 to the contributed fleet (the “Z Squared Asset Value”). Upon consummation of the Business Combination, the OpCo shares held by BSG were converted into shares of our Common Stock, and immediately following the Closing, BSG held 41,521,276 shares of our Common Stock, representing approximately 80.73% of our then-outstanding Common Stock. The issuance of the shares of our Common Stock to BSG in connection with the Business Combination was registered under the Securities Act on the Company’s Registration Statement on Form S-4 (File No. 333-288329). The shares of our Common Stock offered for resale under this prospectus were subsequently distributed by BSG to its members and are being registered for resale because they are not otherwise freely tradable in the hands of the Selling Securityholders. On April 30, 2026, BSG distributed all of its shares of our Common Stock, pro rata and for no consideration, to its members, following which BSG ceased to beneficially own any shares of our Common Stock and filed Amendment No. 1 to its Schedule 13D on or about May 15, 2026 reflecting the disposition. The shares of our Common Stock distributed by BSG, including certain of the shares being registered for resale under this prospectus, remain subject to the contractual lock-up and leak-out restrictions set forth in the AFSA. Those restrictions generally provide that, subject to specified exceptions: (i) no sales may be made unless the volume-weighted average price of our Common Stock over the preceding 10 trading days exceeds $16.00 per share; (ii) for the 18-month period beginning April 27, 2026, a holder may sell in any calendar month no more than one-eighteenth (1/18th) of the total shares it received; (iii) sales in any calendar month may not exceed 5% of the average daily trading volume of our Common Stock over the preceding 10 trading days; (iv) no short sales of our Common Stock are permitted; and (v) the restrictions terminate if the closing price of our Common Stock exceeds $35.00 per share for two consecutive trading days. See “Selling Securityholders” and “Risk Factors.”</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Spin-Out.</w:t>
      </w:r>
      <w:r>
        <w:rPr>
          <w:rFonts w:ascii="Times New Roman;Times;Serif" w:hAnsi="Times New Roman;Times;Serif"/>
          <w:b w:val="false"/>
          <w:i w:val="false"/>
          <w:caps w:val="false"/>
          <w:smallCaps w:val="false"/>
          <w:sz w:val="20"/>
          <w:bdr w:val="single" w:sz="8" w:space="5" w:color="000000"/>
        </w:rPr>
        <w:t> On April 15, 2026, in connection with the Business Combination, Coeptis reorganized substantially all of the assets and liabilities of its legacy biopharmaceutical operations (other than its interest in GEAR Therapeutics, Inc. (“GEAR”)) into a newly formed, wholly-owned subsidiary, Coeptis Holdings, Inc. (“CHI”), in exchange for 100% of the equity interests in CHI. Immediately prior to the consummation of the Business Combination, Coeptis declared and effected a one-for-one pro rata distribution of its equity interests in CHI to Coeptis stockholders of record as of January 2, 2026 (the “Spin-Out”). As a result of the Spin-Out, the legacy biopharmaceutical operations are held by CHI and do not form part of our consolidated business following the Business Combination.</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GEAR Therapeutics.</w:t>
      </w:r>
      <w:r>
        <w:rPr>
          <w:rFonts w:ascii="Times New Roman;Times;Serif" w:hAnsi="Times New Roman;Times;Serif"/>
          <w:b w:val="false"/>
          <w:i w:val="false"/>
          <w:caps w:val="false"/>
          <w:smallCaps w:val="false"/>
          <w:sz w:val="20"/>
          <w:bdr w:val="single" w:sz="8" w:space="5" w:color="000000"/>
        </w:rPr>
        <w:t> We retained our subsidiary GEAR following the Business Combination. In consideration for that retention, Coeptis issued 1,000,000 shares of Common Stock to CHI and granted CHI an option to acquire GEAR at its fair market value at the time of exercise. The option becomes exercisable on October 24, 2026 and remains exercisable for 24 months thereafter, with the exercise price payable, at CHI’s election, in cash, in shares of our Common Stock, or a combination thereof.</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Board of Directors and Management.</w:t>
      </w:r>
      <w:r>
        <w:rPr>
          <w:rFonts w:ascii="Times New Roman;Times;Serif" w:hAnsi="Times New Roman;Times;Serif"/>
          <w:b w:val="false"/>
          <w:i w:val="false"/>
          <w:caps w:val="false"/>
          <w:smallCaps w:val="false"/>
          <w:sz w:val="20"/>
          <w:bdr w:val="single" w:sz="8" w:space="5" w:color="000000"/>
        </w:rPr>
        <w:t> On the Closing Date, all directors and executive officers of Coeptis serving prior to the Effective Time resigned, and the directors designated by OpCo were appointed to our board of directors effective upon consummation of the Business Combination. David Halabu was appointed Chief Executive Officer and Brian Cogley was appointed Chief Financial Officer, and Ryan Schadel was appointed Chief Marketing Officer effective April 27, 2026. Our board of directors currently consists of four members: David Halabu, Adam Sohn, Bryan Fuerst, and Kenneth Cooper.</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Standby Equity Purchase Agreement</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November 1, 2024, the Company (then known as Coeptis Therapeutics Holdings, Inc.) entered into the SEPA with Yorkville, pursuant to which the Company has the right, but not the obligation, to sell to Yorkville up to $20,000,000 of shares of Common Stock, subject to the limitations and conditions set forth in the SEPA, from time to time during the term of the SEPA. Sales of Common Stock to Yorkville under the SEPA are at the Company’s election by delivery of written notices to Yorkville (each, an “Advance Notice,” and each sale pursuant thereto, an “Advance”). While there is no mandatory minimum amount for any Advance, an Advance may not exceed an amount equal to 100% of the average of the daily traded amount of the Common Stock during the five consecutive trading days immediately preceding the Advance Notice. Shares of Common Stock purchased pursuant to an Advance are purchased at a price equal to 95% of the lowest daily VWAP of the Common Stock during the three consecutive trading days commencing on the date of delivery of the Advance Notice, excluding any trading day on which the daily VWAP is less than a minimum acceptable price specified by the Company in the Advance Notice or on which there is no VWAP. “VWAP” means the daily volume weighted average price of the Common Stock for the applicable trading day on the Nasdaq Stock Market during regular trading hours, as reported by Bloomberg L.P.</w:t>
      </w:r>
    </w:p>
    <w:p>
      <w:pPr>
        <w:pStyle w:val="TextBody"/>
        <w:shd w:fill="FFFFFF" w:val="clear"/>
        <w:bidi w:val="0"/>
        <w:jc w:val="left"/>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consideration for Yorkville’s commitment to purchase shares of Common Stock under the SEPA, the Company paid Yorkville a structuring fee of $25,000 and a commitment fee equal to 1% of the commitment amount, payable as to (i) 20,000 Commitment Shares issued on the date of the SEPA and (ii) $120,000 in cash or by way of an Advance on the date the Company has first received Advances in the aggregate amount of $5,000,000, which $120,000 payment has not been triggered as of the date of this prospectus. The Company also entered into a Registration Rights Agreement, dated November 1, 2024, with Yorkville, pursuant to which the Company agreed to register the resale of the shares of Common Stock issued or issuable to Yorkville under the SEPA, and the Original Registration Statement was filed in satisfaction of that obligation.</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connection with the SEPA, Yorkville advanced funds to the Company in exchange for a convertible promissory note in the aggregate principal amount of $1,304,758 (the “Yorkville Note”), which accrued interest at 8% per annum and matured on November 1, 2025. The Yorkville Note was satisfied in full during 2025, including through the issuance of shares of Common Stock upon conversion and the repayment of the remaining $218,750 principal balance, and no convertible promissory notes issued to Yorkville remain outstanding as of the date of this prospectus.</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SEPA provides that the Company may not issue or sell, and Yorkville may not purchase, shares of Common Stock that, when aggregated with all other shares of Common Stock then beneficially owned by Yorkville and its affiliates, would result in Yorkville beneficially owning more than 4.99% of the outstanding Common Stock. In addition, under applicable Nasdaq rules and the terms of the SEPA and the Yorkville Note, in no event may the Company issue to Yorkville shares of Common Stock in excess of 19.99% of the shares of Common Stock outstanding immediately prior to the execution of the SEPA (the “Exchange Cap”), unless the Company obtains stockholder approval to issue shares in excess of the Exchange Cap in accordance with applicable Nasdaq rules. On December 18, 2024, at the Company’s 2024 annual meeting of stockholders, the Company’s stockholders approved, for purposes of Nasdaq Listing Rule 5635(d), the issuance of up to $20,000,000 of securities in connection with the SEPA, and as a result the Exchange Cap does not limit issuances under the SEPA up to that amount. As of the date of this prospectus, the Company has issued an aggregate of 435,896 shares of Common Stock to Yorkville under the SEPA and the Yorkville Note (including the Commitment Shares). See “Risk Factors.”</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SEPA automatically terminates on the earlier of (i) December 1, 2027 and (ii) the date on which the Company shall have made full issuances of Advances pursuant to the SEPA. The Company may terminate the SEPA at no cost or penalty upon five trading days’ prior written notice to Yorkville, provided that there are no outstanding Advance Notices for which shares of Common Stock remain to be issued. The foregoing summary is qualified in its entirety by reference to the SEPA and the Registration Rights Agreement, copies of which are incorporated by reference as exhibits to the Registration Statement.</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Committed Equity Forward Purchase Agreement</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addition to the SEPA, on May 29, 2026 we entered into a Committed Equity Forward Purchase Agreement (the “Purchase Agreement”) with Translucent Matter Inc., a British Virgin Islands company (the “CEFPA Purchaser”), under which we may, in our sole discretion, sell to the CEFPA Purchaser up to $50.0 million of shares of Common Stock from time to time over an 18-month commitment period, subject to the terms and conditions of the Purchase Agreement. Draws are subject to minimum and maximum amounts per draw, a price floor, an exchange cap of 19.99% of our outstanding Common Stock (absent shareholder approval in accordance with the rules of the Nasdaq Stock Market), and a beneficial ownership limitation. The purchase price for shares sold in each draw is at a discount to the volume-weighted average price of our Common Stock over a pricing period for that draw.</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shares issuable under the Purchase Agreement are being issued in reliance on the exemption from registration provided by Section 4(a)(2) of the Securities Act and Regulation D thereunder, and are subject to a contractual lock-up of 9 months from the date such shares are issued</w:t>
      </w:r>
      <w:r>
        <w:rPr>
          <w:rFonts w:ascii="Times New Roman;Times;Serif" w:hAnsi="Times New Roman;Times;Serif"/>
          <w:b/>
          <w:i w:val="false"/>
          <w:caps w:val="false"/>
          <w:smallCaps w:val="false"/>
          <w:sz w:val="20"/>
          <w:bdr w:val="single" w:sz="8" w:space="5" w:color="000000"/>
        </w:rPr>
        <w:t>.</w:t>
      </w:r>
      <w:r>
        <w:rPr>
          <w:rFonts w:ascii="Times New Roman;Times;Serif" w:hAnsi="Times New Roman;Times;Serif"/>
          <w:b w:val="false"/>
          <w:i w:val="false"/>
          <w:caps w:val="false"/>
          <w:smallCaps w:val="false"/>
          <w:sz w:val="20"/>
          <w:bdr w:val="single" w:sz="8" w:space="5" w:color="000000"/>
        </w:rPr>
        <w:t> We have granted the CEFPA Purchaser certain registration rights with respect to those shares. The SEPA and the Purchase Agreement are separate arrangements with different counterparties; this prospectus relates only to the resale of shares acquired or acquirable by Yorkville under the SEPA.</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25" w:name="s_006"/>
      <w:bookmarkEnd w:id="25"/>
      <w:r>
        <w:rPr>
          <w:rFonts w:ascii="Times New Roman;Times;Serif" w:hAnsi="Times New Roman;Times;Serif"/>
          <w:b/>
          <w:i w:val="false"/>
          <w:caps w:val="false"/>
          <w:smallCaps w:val="false"/>
          <w:sz w:val="20"/>
          <w:bdr w:val="single" w:sz="8" w:space="5" w:color="000000"/>
        </w:rPr>
        <w:t>THE OFFERING</w:t>
      </w:r>
    </w:p>
    <w:p>
      <w:pPr>
        <w:pStyle w:val="TextBody"/>
        <w:bidi w:val="0"/>
        <w:jc w:val="center"/>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2013"/>
        <w:gridCol w:w="60"/>
        <w:gridCol w:w="8132"/>
      </w:tblGrid>
      <w:tr>
        <w:trPr/>
        <w:tc>
          <w:tcPr>
            <w:tcW w:w="2013"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Common Stock offered by us</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Shares of our Common Stock having an aggregate offering price of up to $300,000,000.</w:t>
            </w:r>
          </w:p>
        </w:tc>
      </w:tr>
      <w:tr>
        <w:trPr/>
        <w:tc>
          <w:tcPr>
            <w:tcW w:w="20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pPr>
            <w:r>
              <w:rPr/>
              <w:t> </w:t>
            </w:r>
          </w:p>
        </w:tc>
      </w:tr>
      <w:tr>
        <w:trPr/>
        <w:tc>
          <w:tcPr>
            <w:tcW w:w="2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Manner of Offering</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pPr>
            <w:r>
              <w:rPr/>
              <w:t>“</w:t>
            </w:r>
            <w:r>
              <w:rPr>
                <w:rFonts w:ascii="Times New Roman;Times;Serif" w:hAnsi="Times New Roman;Times;Serif"/>
                <w:sz w:val="20"/>
              </w:rPr>
              <w:t>At the Market Offering” that may be made from time to time through or to, the Agent, as sales agent or principal. See “Plan of Distribution” on page S-14</w:t>
            </w:r>
          </w:p>
        </w:tc>
      </w:tr>
      <w:tr>
        <w:trPr/>
        <w:tc>
          <w:tcPr>
            <w:tcW w:w="20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pPr>
            <w:r>
              <w:rPr/>
              <w:t> </w:t>
            </w:r>
          </w:p>
        </w:tc>
      </w:tr>
      <w:tr>
        <w:trPr/>
        <w:tc>
          <w:tcPr>
            <w:tcW w:w="2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Common Stock outstanding immediately before offering </w:t>
            </w:r>
            <w:r>
              <w:rPr>
                <w:rFonts w:ascii="Times New Roman;Times;Serif" w:hAnsi="Times New Roman;Times;Serif"/>
                <w:position w:val="7"/>
                <w:sz w:val="16"/>
                <w:sz w:val="20"/>
              </w:rPr>
              <w:t>(1)</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51,474,007 shares of Common Stock</w:t>
            </w:r>
          </w:p>
        </w:tc>
      </w:tr>
      <w:tr>
        <w:trPr/>
        <w:tc>
          <w:tcPr>
            <w:tcW w:w="20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pPr>
            <w:r>
              <w:rPr/>
              <w:t> </w:t>
            </w:r>
          </w:p>
        </w:tc>
      </w:tr>
      <w:tr>
        <w:trPr/>
        <w:tc>
          <w:tcPr>
            <w:tcW w:w="2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Common Stock outstanding immediately after offering </w:t>
            </w:r>
            <w:r>
              <w:rPr>
                <w:rFonts w:ascii="Times New Roman;Times;Serif" w:hAnsi="Times New Roman;Times;Serif"/>
                <w:position w:val="7"/>
                <w:sz w:val="16"/>
                <w:sz w:val="20"/>
              </w:rPr>
              <w:t>(1)</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78,771,550 shares of Common Stock assuming 27,297,543 shares of Common Stock are sold, based on an assumed offering price of $10.99 per  share, which was the closing price of our Common Stock on the Nasdaq Global Market on July 2, 2026. The actual number of shares of our Common Stock issued will vary depending on the sales price under this offering.</w:t>
            </w:r>
          </w:p>
        </w:tc>
      </w:tr>
      <w:tr>
        <w:trPr/>
        <w:tc>
          <w:tcPr>
            <w:tcW w:w="20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pPr>
            <w:r>
              <w:rPr/>
              <w:t> </w:t>
            </w:r>
          </w:p>
        </w:tc>
      </w:tr>
      <w:tr>
        <w:trPr/>
        <w:tc>
          <w:tcPr>
            <w:tcW w:w="2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Proceeds</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currently intend to use the net proceeds from this offering for working capital and general corporate purposes. See ’‘Use of Proceeds” on page S-12 of this prospectus supplement.</w:t>
            </w:r>
          </w:p>
        </w:tc>
      </w:tr>
      <w:tr>
        <w:trPr/>
        <w:tc>
          <w:tcPr>
            <w:tcW w:w="20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pPr>
            <w:r>
              <w:rPr/>
              <w:t> </w:t>
            </w:r>
          </w:p>
        </w:tc>
      </w:tr>
      <w:tr>
        <w:trPr/>
        <w:tc>
          <w:tcPr>
            <w:tcW w:w="2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Investing in our securities involves a high degree of risk. See “Risk Factors” beginning on page S-8 of this prospectus supplement for a discussion of factors you should consider carefully when making an investment decision.</w:t>
            </w:r>
          </w:p>
        </w:tc>
      </w:tr>
      <w:tr>
        <w:trPr/>
        <w:tc>
          <w:tcPr>
            <w:tcW w:w="20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pPr>
            <w:r>
              <w:rPr/>
              <w:t> </w:t>
            </w:r>
          </w:p>
        </w:tc>
      </w:tr>
      <w:tr>
        <w:trPr/>
        <w:tc>
          <w:tcPr>
            <w:tcW w:w="2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Exchange Listing</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Our Common Stock is traded on Nasdaq Global Market under the symbol “ZSQR.”</w:t>
            </w:r>
          </w:p>
        </w:tc>
      </w:tr>
      <w:tr>
        <w:trPr/>
        <w:tc>
          <w:tcPr>
            <w:tcW w:w="20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ind w:left="0" w:right="0" w:hanging="180"/>
              <w:jc w:val="both"/>
              <w:rPr/>
            </w:pPr>
            <w:r>
              <w:rPr/>
              <w:t> </w:t>
            </w:r>
          </w:p>
        </w:tc>
      </w:tr>
      <w:tr>
        <w:trPr/>
        <w:tc>
          <w:tcPr>
            <w:tcW w:w="2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Agent</w:t>
            </w:r>
          </w:p>
        </w:tc>
        <w:tc>
          <w:tcPr>
            <w:tcW w:w="60" w:type="dxa"/>
            <w:tcBorders/>
            <w:vAlign w:val="center"/>
          </w:tcPr>
          <w:p>
            <w:pPr>
              <w:pStyle w:val="TableContents"/>
              <w:bidi w:val="0"/>
              <w:spacing w:before="0" w:after="283"/>
              <w:jc w:val="left"/>
              <w:rPr/>
            </w:pPr>
            <w:r>
              <w:rPr/>
              <w:t> </w:t>
            </w:r>
          </w:p>
        </w:tc>
        <w:tc>
          <w:tcPr>
            <w:tcW w:w="81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 agent and registrar for our Common Stock is Continental Stock Transfer &amp; Trust Company.</w:t>
            </w:r>
          </w:p>
        </w:tc>
      </w:tr>
    </w:tbl>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is based on 51,474,007 shares outstanding as of July 2, 2026 and does not include the following:</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6970" w:type="dxa"/>
        <w:jc w:val="left"/>
        <w:tblInd w:w="0" w:type="dxa"/>
        <w:tblLayout w:type="fixed"/>
        <w:tblCellMar>
          <w:top w:w="0" w:type="dxa"/>
          <w:left w:w="0" w:type="dxa"/>
          <w:bottom w:w="0" w:type="dxa"/>
          <w:right w:w="0" w:type="dxa"/>
        </w:tblCellMar>
      </w:tblPr>
      <w:tblGrid>
        <w:gridCol w:w="75"/>
        <w:gridCol w:w="170"/>
        <w:gridCol w:w="6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700,000 issued but unvested restricted stock units issued under the 2025 Plan; and</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7473" w:type="dxa"/>
        <w:jc w:val="left"/>
        <w:tblInd w:w="0" w:type="dxa"/>
        <w:tblLayout w:type="fixed"/>
        <w:tblCellMar>
          <w:top w:w="0" w:type="dxa"/>
          <w:left w:w="0" w:type="dxa"/>
          <w:bottom w:w="0" w:type="dxa"/>
          <w:right w:w="0" w:type="dxa"/>
        </w:tblCellMar>
      </w:tblPr>
      <w:tblGrid>
        <w:gridCol w:w="38"/>
        <w:gridCol w:w="17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pPr>
            <w:r>
              <w:rPr/>
              <w:t>100,000 shares of Common Stock issuable pursuant to outstanding warrants.</w:t>
            </w:r>
          </w:p>
        </w:tc>
      </w:tr>
    </w:tbl>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Unless otherwise indicated, all information in this prospectus supplement assumes no exercise of the outstanding options or warrants described above.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6" w:name="s_007"/>
      <w:bookmarkEnd w:id="26"/>
      <w:r>
        <w:rPr>
          <w:rFonts w:ascii="Times New Roman;Times;Serif" w:hAnsi="Times New Roman;Times;Serif"/>
          <w:b/>
          <w:i w:val="false"/>
          <w:caps w:val="false"/>
          <w:smallCaps w:val="false"/>
          <w:sz w:val="20"/>
        </w:rPr>
        <w:t>RISK FACTORS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Investing in our securities involves a high degree of risk. Before deciding whether to invest in our Common Stock, you should carefully consider the risks described below and the other information contained in this prospectus supplement and the accompanying prospectus, including the risk factors set forth under the caption “Risk Factors” in the accompanying prospectus, the risk factors described in our Annual Report on Form 10-K for the year ended December 31, 2025, as updated by our subsequent Quarterly Reports on Form 10-Q and Current Reports on Form 8-K, and in our other filings with the SEC made pursuant to Sections 13(a), 13(c), 14, or 15(d) of the Exchange Act that are incorporated by reference herein and therein, together with all other information contained or incorporated by reference in this prospectus supplement and the accompanying prospectus, including our financial statements and the related notes. The risks and uncertainties described below and in the documents incorporated by reference are not the only ones we face. Additional risks and uncertainties not presently known to us, or that we currently deem immaterial, may also impair our business operations. If any of these risks actually occurs, our business, financial condition, results of operations, and prospects could be materially and adversely affected, the trading price of our Common Stock could decline, and you could lose all or part of your investment.</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Our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the net proceeds from this offering, you may not agree with how we use the proceeds, and the proceeds may not be invested successfully.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as to the use of the net proceeds from this offering and could use them for purposes other than those contemplated at the time of commencement of this offering. Accordingly, you will be relying on the judgment of our management regarding the use of these net proceeds, and you will not have the opportunity, as part of your investment decision, to assess whether the proceeds are being used appropriately. It is possible that, pending their use, we may invest the net proceeds in a way that does not yield a favorable, or any, return for us. The failure of our management to use such funds effectively could have a material adverse effect on our business, financial condition, results of operations, and cash flows.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experience immediate and substantial dilution in the net tangible book value per share of the Common Stock you purchase, and you may experience further dilution as a result of future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in this offering may exceed the historical and pro forma as adjusted net tangible book value per share of our Common Stock outstanding prior to this offering. If you purchase shares of our Common Stock in this offering at a price per share that is substantially higher than our pro forma as adjusted net tangible book value per share, you will suffer immediate and substantial dilution in the net tangible book value of the Common Stock you purchase. See the section entitled “Dilution” below for a more detailed illustration of the dilution you may incur if you participate in this offering. Because the sales of the shares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raise additional capital, we may in the future offer additional shares of our Common Stock or other securities convertible into or exchangeable for our Common Stock at prices that may not be the same as the price per share in this offering, and we may do so in transactions that are dilutive to investors in this offering.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You will also incur dilution upon the exercise of any outstanding stock options or warrants and upon the issuance of shares of Common Stock under our equity incentive plans. The further issuance of shares of Common Stock upon conversion of any outstanding or future shares of our preferred stock would result in additional dilution.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Stock offered hereby will be sold in “at the market offerings,” and investors who buy shares at different times will likely pay different prices.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of Common Stock in this offering at different times will likely pay different prices, and so may experience different levels of dilution and different outcomes in their investment results. We will have discretion, subject to market demand, to vary the timing, prices, and numbers of shares of Common Stock sold in this offering, and there is no minimum or maximum sales price for shares to be sold in this offering. Investors may experience a decline in the value of the shares they purchase in this offering as a result of sales made at prices lower than the prices they paid.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the Sales Agreement, or the gross proceeds resulting from those sales.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sales notice to the Agent at any time throughout the term of the Sales Agreement. The number of shares that are sold by the Agent after we deliver a sales notice will fluctuate based on a number of factors, including the market price of our Common Stock during the sales period, the limits we set with the Agent in any sales notice, and the demand for our Common Stock during the sales period. Because the price per share of each share sold will fluctuate during the term of the Sales Agreement, it is not currently possible to predict the number of shares that will be sold or the aggregate gross proceeds to be raised in connection with those sales. In addition, because there is no minimum offering amount required as a condition to this offering, the actual total offering amount, commissions, and net proceeds to us, if any, are not determinable at this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substantial number of shares of Common Stock may be sold in the market following this offering, which may depress the market price of our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sold in this offering may be resold in the public market at any time. In addition, a substantial number of shares of our Common Stock distributed by BSG to its members in connection with the Business Combination, and other shares of our Common Stock that are currently outstanding but have not been registered for resale, may be eligible for resale in the public market from time to time, including in reliance on Rule 144 under the Securities Act and pursuant to effective resale registration statements, subject in the case of the shares distributed by BSG to the contractual lock-up and leak-out restrictions set forth in the AFSA. Sales of a substantial number of these shares in the public market following this offering, or the perception that those sales may occur, could cause the market price of our Common Stock to decline and could impair our ability to raise capital through future sales of equity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on our Common Stock, so any return on investment may be limited to the value of our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Common Stock and do not anticipate paying any cash dividends in the foreseeable future. We currently intend to retain all available funds and any future earnings to fund the development and growth of our business. Any future determination to pay dividends will be at the discretion of our board of directors and will depend on our results of operations, financial condition, capital requirements, contractual restrictions, and other factors our board of directors deems relevant. As a result, capital appreciation, if any, of our Common Stock will be your sole source of gain for the foreseeable future, and you may never receive a return on your investment.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7" w:name="s_008"/>
      <w:bookmarkEnd w:id="27"/>
      <w:r>
        <w:rPr>
          <w:rFonts w:ascii="Times New Roman;Times;Serif" w:hAnsi="Times New Roman;Times;Serif"/>
          <w:b/>
          <w:i w:val="false"/>
          <w:caps w:val="false"/>
          <w:smallCaps w:val="false"/>
          <w:sz w:val="20"/>
        </w:rPr>
        <w:t>USE OF PROCEEDS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shares of our Common Stock having aggregate sales proceeds of up to $300 million from time to time. The amount of proceeds we receive, if any, will depend on the actual number of shares of our Common Stock sold and the market price at which such shares are sold. There can be no assurance that we will be able to sell any shares or fully utilize the Sales Agreement with the Agent as a source of financing. Because there is no minimum offering amount required as a condition to close this offering, the net proceeds to us, if any, are not determinable at this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precise amount and timing of the application of such net proceeds will depend upon our funding requirements and the availability and cost of other funds. Our board of directors and management will have considerable discretion in the application of the net proceeds from this offering, and it is possible that we may allocate the proceeds differently than investors in the offering may desire or that we may fail to maximize the return on these proceeds. You will be relying on the judgment of our management with regard to the use of proceeds from this offering, and you will not have the opportunity, as part of your investment decision, to assess whether the proceeds are being used appropriately.</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8" w:name="s_009"/>
      <w:bookmarkEnd w:id="28"/>
      <w:r>
        <w:rPr>
          <w:rFonts w:ascii="Times New Roman;Times;Serif" w:hAnsi="Times New Roman;Times;Serif"/>
          <w:b/>
          <w:i w:val="false"/>
          <w:caps w:val="false"/>
          <w:smallCaps w:val="false"/>
          <w:sz w:val="20"/>
        </w:rPr>
        <w:t>DIVIDEND POLICY</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dividends on our Common Stock. We do not anticipate paying any dividends on our Common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9" w:name="s_010"/>
      <w:bookmarkEnd w:id="29"/>
      <w:r>
        <w:rPr>
          <w:rFonts w:ascii="Times New Roman;Times;Serif" w:hAnsi="Times New Roman;Times;Serif"/>
          <w:b/>
          <w:i w:val="false"/>
          <w:caps w:val="false"/>
          <w:smallCaps w:val="false"/>
          <w:sz w:val="20"/>
        </w:rPr>
        <w:t>DESCRIPTION OF SECURITIES WE ARE OFFERING</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up to $300,000,000 worth of shares of our Common Stock in this offering pursuant to this prospectus supplement and the accompanying prospectus. As of July 2, 2026, there were 51,474,007 shares of Common Stock issued and outstanding, held by approximately 1,470 stockholders of record. Not reflected in the number of stockholders of record are persons who beneficially own shares of Common Stock held in nominee or street name. See “Descriptions of Capital Stock” beginning on page 7 in the accompanying prospectus for more information regarding our shares of Common Stock.</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0" w:name="s_011"/>
      <w:bookmarkEnd w:id="30"/>
      <w:r>
        <w:rPr>
          <w:rFonts w:ascii="Times New Roman;Times;Serif" w:hAnsi="Times New Roman;Times;Serif"/>
          <w:b/>
          <w:i w:val="false"/>
          <w:caps w:val="false"/>
          <w:smallCaps w:val="false"/>
          <w:sz w:val="20"/>
        </w:rPr>
        <w:t>DILUTION</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 forma net tangible book value as of March 31, 2026, was approximately $36,910,345, or $0.72 per share. "Net tangible book value" is total assets minus the sum of total liabilities, intangible assets and goodwill. "Net tangible book value per share" is net tangible book value divided by the total number of shares of our outstanding Common Stock.</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Business Combination was completed. The Business Combination is accounted for as a reverse acquisition under ASC 805, with Z Squared OpCo Inc. ("OpCo") treated as the accounting acquirer and Coeptis Therapeutics Holdings, Inc. (now known as Z Squared Inc.) treated as the accounting acquiree. The unaudited condensed consolidated balance sheet of our predecessor as of March 31, 2026 reflects the operations of Coeptis Therapeutics Holdings, Inc. on a standalone basis, prior to and without giving effect to the Business Combination or the related Spin-Out, and reported total stockholders' equity of $17,578,844 on 6,553,996 shares of Common Stock outstanding. Because the Business Combination, the Spin-Out, the name change and the related share issuances each occurred after March 31, 2026, none is reflected in that historical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net tangible book value presented above is shown on a pro forma basis, derived from the unaudited pro forma condensed combined balance sheet as of March 31, 2026 incorporated by reference in this prospectus from our Current Report on Form 8-K/A filed with the Securities and Exchange Commission on June 1, 2026, which gives effect to the Business Combination and the related Spin-Out as if each had occurred on March 31, 2026. The principal pro forma adjustments include (i) the issuance of 43,877,497 shares of Common Stock to the former stockholders of OpCo as Merger Consideration and 1,000,000 shares to the spin-out entity, (ii) the contribution by BSG Series CM, LLC of 9,800 cryptocurrency mining machines, recorded at their historical carrying value of $35,290,694 because the contribution was a transfer of assets between related parties, (iii) the Spin-Out of the Company's legacy biopharmaceutical operations, and (iv) the recognition of $116,494,022 of goodwill representing the excess of the estimated Merger Consideration over the preliminary fair value of the net assets acquired. As a result of these transactions, the Company's outstanding shares of Common Stock increased from 6,553,996 at March 31, 2026 to 51,431,493 on a pro forma combined basis. The purchase price allocation reflected in the pro forma financial information, including the amount of goodwill, is preliminary and subject to change upon finalization of the Company's acquisition accounting under ASC 805, and the pro forma net tangible book value per share may change materially as a result. </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27,297,543 shares of Common Stock in this offering, at an assumed offering price of $10.99 per share, which was the last reported sale price of our Common Stock on the Nasdaq Global Market on July 2, 2026, and after deducting the Agent's fees and estimated offering expenses payable by us in connection with this offering, our pro forma as adjusted net tangible book value as of March 31, 2026 would have been approximately $327,910,345, or $4.17 per share. This represents an immediate increase in net tangible book value of $3.45 per share to our existing shareholders and an immediate dilution of $6.82 per share to the investors participating in this offering.</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per-share dilution of our Common Stock:</w:t>
      </w:r>
    </w:p>
    <w:p>
      <w:pPr>
        <w:pStyle w:val="TextBody"/>
        <w:bidi w:val="0"/>
        <w:jc w:val="both"/>
        <w:rPr>
          <w:caps w:val="false"/>
          <w:smallCaps w:val="false"/>
        </w:rPr>
      </w:pPr>
      <w:r>
        <w:rPr>
          <w:caps w:val="false"/>
          <w:smallCaps w:val="false"/>
        </w:rPr>
        <w:t> </w:t>
      </w:r>
    </w:p>
    <w:tbl>
      <w:tblPr>
        <w:tblW w:w="8610" w:type="dxa"/>
        <w:jc w:val="left"/>
        <w:tblInd w:w="0" w:type="dxa"/>
        <w:tblLayout w:type="fixed"/>
        <w:tblCellMar>
          <w:top w:w="0" w:type="dxa"/>
          <w:left w:w="0" w:type="dxa"/>
          <w:bottom w:w="0" w:type="dxa"/>
          <w:right w:w="0" w:type="dxa"/>
        </w:tblCellMar>
      </w:tblPr>
      <w:tblGrid>
        <w:gridCol w:w="7775"/>
        <w:gridCol w:w="60"/>
        <w:gridCol w:w="140"/>
        <w:gridCol w:w="560"/>
        <w:gridCol w:w="75"/>
      </w:tblGrid>
      <w:tr>
        <w:trPr/>
        <w:tc>
          <w:tcPr>
            <w:tcW w:w="7775" w:type="dxa"/>
            <w:tcBorders/>
            <w:shd w:fill="CCEEFF" w:val="clear"/>
            <w:vAlign w:val="center"/>
          </w:tcPr>
          <w:p>
            <w:pPr>
              <w:pStyle w:val="TableContents"/>
              <w:bidi w:val="0"/>
              <w:spacing w:before="0" w:after="283"/>
              <w:jc w:val="left"/>
              <w:rPr/>
            </w:pPr>
            <w:r>
              <w:rPr/>
              <w:t>Assumed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10.99</w:t>
            </w:r>
          </w:p>
        </w:tc>
        <w:tc>
          <w:tcPr>
            <w:tcW w:w="75" w:type="dxa"/>
            <w:tcBorders/>
            <w:shd w:fill="CCEEFF" w:val="clear"/>
            <w:vAlign w:val="center"/>
          </w:tcPr>
          <w:p>
            <w:pPr>
              <w:pStyle w:val="TableContents"/>
              <w:bidi w:val="0"/>
              <w:spacing w:before="0" w:after="283"/>
              <w:jc w:val="left"/>
              <w:rPr/>
            </w:pPr>
            <w:r>
              <w:rPr/>
              <w:t> </w:t>
            </w:r>
          </w:p>
        </w:tc>
      </w:tr>
      <w:tr>
        <w:trPr/>
        <w:tc>
          <w:tcPr>
            <w:tcW w:w="7775" w:type="dxa"/>
            <w:tcBorders/>
            <w:shd w:fill="FFFFFF" w:val="clear"/>
            <w:vAlign w:val="center"/>
          </w:tcPr>
          <w:p>
            <w:pPr>
              <w:pStyle w:val="TableContents"/>
              <w:bidi w:val="0"/>
              <w:spacing w:before="0" w:after="283"/>
              <w:jc w:val="left"/>
              <w:rPr/>
            </w:pPr>
            <w:r>
              <w:rPr/>
              <w:t>Pro forma net tangible book value per share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0.72</w:t>
            </w:r>
          </w:p>
        </w:tc>
        <w:tc>
          <w:tcPr>
            <w:tcW w:w="75" w:type="dxa"/>
            <w:tcBorders/>
            <w:shd w:fill="FFFFFF" w:val="clear"/>
            <w:vAlign w:val="center"/>
          </w:tcPr>
          <w:p>
            <w:pPr>
              <w:pStyle w:val="TableContents"/>
              <w:bidi w:val="0"/>
              <w:spacing w:before="0" w:after="283"/>
              <w:jc w:val="left"/>
              <w:rPr/>
            </w:pPr>
            <w:r>
              <w:rPr/>
              <w:t> </w:t>
            </w:r>
          </w:p>
        </w:tc>
      </w:tr>
      <w:tr>
        <w:trPr/>
        <w:tc>
          <w:tcPr>
            <w:tcW w:w="7775" w:type="dxa"/>
            <w:tcBorders/>
            <w:shd w:fill="CCEEFF" w:val="clear"/>
            <w:vAlign w:val="center"/>
          </w:tcPr>
          <w:p>
            <w:pPr>
              <w:pStyle w:val="TableContents"/>
              <w:bidi w:val="0"/>
              <w:spacing w:before="0" w:after="283"/>
              <w:jc w:val="left"/>
              <w:rPr/>
            </w:pPr>
            <w:r>
              <w:rPr/>
              <w:t>Increase to pro forma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3. 45</w:t>
            </w:r>
          </w:p>
        </w:tc>
        <w:tc>
          <w:tcPr>
            <w:tcW w:w="75" w:type="dxa"/>
            <w:tcBorders/>
            <w:shd w:fill="CCEEFF" w:val="clear"/>
            <w:vAlign w:val="center"/>
          </w:tcPr>
          <w:p>
            <w:pPr>
              <w:pStyle w:val="TableContents"/>
              <w:bidi w:val="0"/>
              <w:spacing w:before="0" w:after="283"/>
              <w:jc w:val="left"/>
              <w:rPr/>
            </w:pPr>
            <w:r>
              <w:rPr/>
              <w:t> </w:t>
            </w:r>
          </w:p>
        </w:tc>
      </w:tr>
      <w:tr>
        <w:trPr/>
        <w:tc>
          <w:tcPr>
            <w:tcW w:w="7775" w:type="dxa"/>
            <w:tcBorders/>
            <w:shd w:fill="FFFFFF" w:val="clear"/>
            <w:vAlign w:val="center"/>
          </w:tcPr>
          <w:p>
            <w:pPr>
              <w:pStyle w:val="TableContents"/>
              <w:bidi w:val="0"/>
              <w:spacing w:before="0" w:after="283"/>
              <w:jc w:val="left"/>
              <w:rPr/>
            </w:pPr>
            <w:r>
              <w:rPr/>
              <w:t>Pro forma as adjusted net tangible book value per share after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4.17</w:t>
            </w:r>
          </w:p>
        </w:tc>
        <w:tc>
          <w:tcPr>
            <w:tcW w:w="75" w:type="dxa"/>
            <w:tcBorders/>
            <w:shd w:fill="FFFFFF" w:val="clear"/>
            <w:vAlign w:val="center"/>
          </w:tcPr>
          <w:p>
            <w:pPr>
              <w:pStyle w:val="TableContents"/>
              <w:bidi w:val="0"/>
              <w:spacing w:before="0" w:after="283"/>
              <w:jc w:val="left"/>
              <w:rPr/>
            </w:pPr>
            <w:r>
              <w:rPr/>
              <w:t> </w:t>
            </w:r>
          </w:p>
        </w:tc>
      </w:tr>
      <w:tr>
        <w:trPr/>
        <w:tc>
          <w:tcPr>
            <w:tcW w:w="7775" w:type="dxa"/>
            <w:tcBorders/>
            <w:shd w:fill="CCEEFF" w:val="clear"/>
            <w:vAlign w:val="center"/>
          </w:tcPr>
          <w:p>
            <w:pPr>
              <w:pStyle w:val="TableContents"/>
              <w:bidi w:val="0"/>
              <w:spacing w:before="0" w:after="283"/>
              <w:jc w:val="left"/>
              <w:rPr/>
            </w:pPr>
            <w:r>
              <w:rPr/>
              <w:t>Dilution per share to new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6.82</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for illustrative purposes that an aggregate 27,297,543 shares of our Common Stock are sold during the term of the Sales Agreement with the Agent at an assumed offering price of $10.99 per share, the last reported sale price of our Common Stock on Nasdaq Global Market on July 2, 2026 for aggregate gross proceeds of $300,000,000. The shares subject to the Sales Agreement with the Agent are being sold from time to time at various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$1.00 per share in the price at which the shares are sold from the assumed offering price of $10.99 per share shown in the table above, assuming all of our Common Stock in the aggregate amount of $300,000,000 during the term of the Sales Agreement with the Agent is sold at that price, would increase the dilution in pro forma as adjusted net tangible book value per share to new investors in this offering to $7.70 per share, after deducting commissions and estimated aggregate offering expenses payable by us. A decrease of $1.00 per share in the price at which the shares are sold from the assumed offering price of $10.99 per share shown in the table above, assuming all of our Common Stock in the aggregate amount of $300,000,000 during the term of the Sales Agreement with the Agent is sold at that price, would decrease the dilution in pro forma as adjusted net tangible book value per share to new investors in this offering to $5.96 per share, after deducting commissions and estimated aggregate offering expenses payable by us. This information is supplied for illustrative purposes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table is based on 51,431,493  shares of Common Stock outstanding as of March 31, 2026 and excludes the following:</w:t>
      </w:r>
    </w:p>
    <w:p>
      <w:pPr>
        <w:pStyle w:val="TextBody"/>
        <w:bidi w:val="0"/>
        <w:spacing w:before="0" w:after="0"/>
        <w:ind w:left="0" w:right="0" w:hanging="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pPr>
            <w:r>
              <w:rPr/>
              <w:t>700,000 issued but unvested restricted stock units issued under the 2025 Plan.</w:t>
            </w:r>
          </w:p>
        </w:tc>
      </w:tr>
    </w:tbl>
    <w:p>
      <w:pPr>
        <w:pStyle w:val="TextBody"/>
        <w:bidi w:val="0"/>
        <w:spacing w:before="0" w:after="283"/>
        <w:jc w:val="left"/>
        <w:rPr/>
      </w:pPr>
      <w:r>
        <w:rPr/>
        <w:t> </w:t>
      </w:r>
    </w:p>
    <w:tbl>
      <w:tblPr>
        <w:tblW w:w="7473" w:type="dxa"/>
        <w:jc w:val="left"/>
        <w:tblInd w:w="0" w:type="dxa"/>
        <w:tblLayout w:type="fixed"/>
        <w:tblCellMar>
          <w:top w:w="0" w:type="dxa"/>
          <w:left w:w="0" w:type="dxa"/>
          <w:bottom w:w="0" w:type="dxa"/>
          <w:right w:w="0" w:type="dxa"/>
        </w:tblCellMar>
      </w:tblPr>
      <w:tblGrid>
        <w:gridCol w:w="38"/>
        <w:gridCol w:w="17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pPr>
            <w:r>
              <w:rPr/>
              <w:t>100,000 shares of Common Stock issuable pursuant to outstanding warrants.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of the above outstanding options or warrants are exercised or we issue additional shares under our equity incentive plans,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shareholders.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1" w:name="s_012"/>
      <w:bookmarkEnd w:id="31"/>
      <w:r>
        <w:rPr>
          <w:rFonts w:ascii="Times New Roman;Times;Serif" w:hAnsi="Times New Roman;Times;Serif"/>
          <w:b/>
          <w:i w:val="false"/>
          <w:caps w:val="false"/>
          <w:smallCaps w:val="false"/>
          <w:sz w:val="20"/>
        </w:rPr>
        <w:t>PLAN OF DISTRIBUTION</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we entered into the Sales Agreement with the Agent pursuant to which we may issue and sell shares of our Common Stock from time to time in an amount up to $300,000,000 to or through the Agent, acting as sales agent or principal. The Agent is not purchasing or selling any of the shares of our Common Stock offered by this prospectus supplement, nor is it required to arrange the purchase or sale of any specific number or dollar amount of shares of our Common Stock but has agreed to use its reasonable best efforts to arrange for the sale of all of the shares of our Common Stock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placement notice and subject to the terms and conditions of the Sales Agreement, the Agent may sell shares of our Common Stock by any method permitted by law deemed to be an “at-the-market” equity offering as defined in Rule 415 promulgated under the Securities Act, including sales made directly on or through the Nasdaq Global Market, the existing trading market for our Common Stock, sales made to or through a market maker other than on an exchange or otherwise, in negotiated transactions at market prices prevailing at the time of sale or at prices related to such prevailing market prices, and/or any other method permitted by law, including in privately negotiated transactions.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Agent in cash, upon each sale of shares of our Common Stock pursuant to the Sales Agreement, a commission equal to 3.00% of the gross proceeds from each sale of shares of our Common Stock. Because there is no minimum offering amount required as a condition to this offering, the actual total public offering amount, commissions and proceeds to us, if any, are not determinable at this time. We have also agreed to reimburse the Agent for its reasonable and documented out-of-pocket costs and expenses incurred in connection with the offering, including the fees and disbursements of its legal counsel; provided, that the aggregate reimbursement of such out-of-pocket expenses shall not exceed $100,000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shares of our Common Stock will occur on the first business day that is also a trading day following the date on which any sales were made, or such shorter settlement cycle as may be in effect under Rule 15c6-1 of the Securities Exchange Act of 1934 from time to time, or on some other date that is agreed upon by us and the Agent in connection with a particular transaction, in return for payment of the net proceeds to us. There is no arrangement for funds to be received in an escrow, trust or similar arrangement. Sales of shares of our Common Stock as contemplated in this prospectus supplement will be settled through the facilities of The Depository Trust Company or by such other means as we and the Agent may agree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provide indemnification and contribution to the Agent and specified persons against certain civil liabilities, including liabilities under the Securities Act and the Exchange Act, and to contribute to payments that the Agent may be required to make in respect of such liabilities.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may be deemed to be an underwriter within the meaning of Section 2(a)(11) of the Securities Act, and any commissions received by them and any profit realized on the resale of the shares sold by them while acting as principal might be deemed to be underwriting discounts or commissions under the Securities Act. As an underwriter, the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by the agent acting as principal. Under these rules and regulations, the Agent:</w:t>
      </w:r>
    </w:p>
    <w:p>
      <w:pPr>
        <w:pStyle w:val="TextBody"/>
        <w:bidi w:val="0"/>
        <w:jc w:val="both"/>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38"/>
        <w:gridCol w:w="17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may not engage in any stabilization activity in connection with our securities;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may not bid for or purchase any of our securities or attempt to induce any person to purchase any of our securities, other than as permitted under the Exchange Act, until it has completed its participation in the distribution.</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shares of our Common Stock pursuant to the Sales Agreement will terminate upon the earliest of (i) the sale of all Common Stock having an aggregate offering price of $300,000,000 as provided for in this prospectus supplement, and (ii) the termination of the Sales Agreement by the provision of five (5) days prior written notice by either party or otherwise pursuant to the terms of the Sales Agreement.</w:t>
      </w:r>
    </w:p>
    <w:p>
      <w:pPr>
        <w:pStyle w:val="TextBody"/>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in electronic format may be made available on a website maintained by the Agent and the Agent may distribute this prospectus supplement and the accompanying base prospectus electronically.</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purport to be a complete statement of the terms and conditions of the Sales Agreement. A copy of the Sales Agreement is included as an exhibit to our Current Report on Form 8-K that will be filed with the SEC.</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Global Market under the symbol “ZSQR.”</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or will be taken by us or the Agent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2" w:name="s_013"/>
      <w:bookmarkEnd w:id="32"/>
      <w:r>
        <w:rPr>
          <w:rFonts w:ascii="Times New Roman;Times;Serif" w:hAnsi="Times New Roman;Times;Serif"/>
          <w:b/>
          <w:i w:val="false"/>
          <w:caps w:val="false"/>
          <w:smallCaps w:val="false"/>
          <w:sz w:val="20"/>
        </w:rPr>
        <w:t>LEGAL MATTERS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this offering and the validity of the shares of Common Stock offered by this prospectus supplement will be passed upon for us by Zarif Law Group P.C., Asbury Park, New Jersey. Sullivan &amp; Worcester LLP is acting as counsel to the sales agent in connection with this offering.</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3" w:name="s_014"/>
      <w:bookmarkEnd w:id="33"/>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Z Squared OpCo Inc. as of December 31, 2025 and 2024, and for each of the years then ended, incorporated by reference in this prospectus from our Current Report on Form 8-K/A, have been audited by Stephano Slack LLC, an independent registered public accounting firm, as set forth in its report thereon (which report contains an explanatory paragraph expressing substantial doubt about the ability of Z Squared OpCo Inc. to continue as a going concern). Such consolidated financial statements are incorporated by reference herein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Coeptis Therapeutics Holdings, Inc. (now known as Z Squared Inc.) as of December 31, 2025 and 2024, and for each of the years then ended, incorporated by reference in this prospectus from our Annual Report on Form 10-K for the year ended December 31, 2025, have been audited by Astra Audit &amp; Advisory, LLC, an independent registered public accounting firm, as set forth in its report thereon (which report contains an explanatory paragraph expressing substantial doubt about the Company's ability to continue as a going concern). Such consolidated financial statements are incorporated by reference herein in reliance upon such report, given on the authority of such firm as experts in accounting and auditing.</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Z Squared Inc.</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$300,000,000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Sole Agent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6, 2026.</w:t>
      </w:r>
    </w:p>
    <w:p>
      <w:pPr>
        <w:pStyle w:val="TextBody"/>
        <w:bidi w:val="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THE PROSPECTUS</w:t>
      </w:r>
    </w:p>
    <w:p>
      <w:pPr>
        <w:pStyle w:val="TextBody"/>
        <w:bidi w:val="0"/>
        <w:ind w:left="7"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costs and expenses, other than underwriting discounts and commissions, payable by us in connection with the offering of the securities being registered. All the amounts shown are estimates, except for the SEC registration fee.</w:t>
      </w:r>
    </w:p>
    <w:p>
      <w:pPr>
        <w:pStyle w:val="TextBody"/>
        <w:bidi w:val="0"/>
        <w:jc w:val="both"/>
        <w:rPr>
          <w:caps w:val="false"/>
          <w:smallCaps w:val="false"/>
        </w:rPr>
      </w:pPr>
      <w:r>
        <w:rPr>
          <w:caps w:val="false"/>
          <w:smallCaps w:val="false"/>
        </w:rPr>
        <w:t> </w:t>
      </w:r>
    </w:p>
    <w:tbl>
      <w:tblPr>
        <w:tblW w:w="4170" w:type="dxa"/>
        <w:jc w:val="left"/>
        <w:tblInd w:w="0" w:type="dxa"/>
        <w:tblLayout w:type="fixed"/>
        <w:tblCellMar>
          <w:top w:w="0" w:type="dxa"/>
          <w:left w:w="0" w:type="dxa"/>
          <w:bottom w:w="0" w:type="dxa"/>
          <w:right w:w="0" w:type="dxa"/>
        </w:tblCellMar>
      </w:tblPr>
      <w:tblGrid>
        <w:gridCol w:w="3215"/>
        <w:gridCol w:w="60"/>
        <w:gridCol w:w="140"/>
        <w:gridCol w:w="680"/>
        <w:gridCol w:w="75"/>
      </w:tblGrid>
      <w:tr>
        <w:trPr/>
        <w:tc>
          <w:tcPr>
            <w:tcW w:w="321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41,430</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FINRA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Printing and duplicating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55,000</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Transfer agent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Miscellaneous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These fees and expenses are calculated based on the securities offered and the number of issuances and, accordingly, cannot be estimated at this time. An estimate of the aggregate amount of these expenses will be reflected in the applicable prospectus supplement.</w:t>
            </w:r>
          </w:p>
        </w:tc>
      </w:tr>
    </w:tbl>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provides that directors and officers of Delaware corporations may, under certain circumstances, be indemnified against expenses (including attorneys’ fees) and other liabilities actually and reasonably incurred by them as a result of any suit brought against them in their capacity as a director or officer, if they acted in good faith and in a manner they reasonably believed to be in or not opposed to the best interests of the corporation, and, with respect to any criminal action or proceeding, if they had no reasonable cause to believe their conduct was unlawful. The DGCL also provides that directors and officers may also be indemnified against expenses (including attorneys’ fees) incurred by them in connection with a derivative suit if they acted in good faith and in a manner they reasonably believed to be in or not opposed to the best interests of the corporation, except that no indemnification may be made without court approval if such person was adjudged liable to the corporation.</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Article VI of our second amended and restated bylaws contains provisions that allow the Company to indemnify its officers, directors, employees, and agents.</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indemnification provided under our Certificate of Incorporation and Bylaws, on April 28, 2026, we entered into an Indemnification Agreement with each of our directors and executive officers, in each case in substantially the form approved by our Board of Directors on April 27, 2026 (each, an “Indemnification Agreement”). The Indemnification Agreement provides, among other things, for the indemnification of each indemnitee, to the fullest extent permitted by Delaware law, against expenses (including attorneys’ fees), judgments, fines, penalties, and amounts paid in settlement actually and reasonably incurred by the indemnitee in connection with any threatened, pending, or completed action, suit, or proceeding by reason of the indemnitee’s service as a director, officer, employee, or agent of the Corporation or, at the request of the Corporation, of another entity. The Indemnification Agreement also provides for the advancement of expenses incurred by the indemnitee in defending any such proceeding, subject to the indemnitee’s undertaking to repay such amounts if it is ultimately determined that the indemnitee is not entitled to indemnification, and sets forth procedures for determining entitlement to indemnification.</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the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w:t>
      </w:r>
    </w:p>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claim for indemnification against such liabilities (other than the payment by the registrant of expenses incurred or paid by directors, officers, or controlling person of the registrant in the successful defense of any action, suit, or proceeding) is asserted by such director, officer, or controlling person in connection with the securities being registered, the registrant will, unless in the opinion of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ind w:left="7" w:right="0" w:hanging="0"/>
        <w:jc w:val="both"/>
        <w:rPr>
          <w:caps w:val="false"/>
          <w:smallCaps w:val="false"/>
        </w:rPr>
      </w:pPr>
      <w:r>
        <w:rPr>
          <w:caps w:val="false"/>
          <w:smallCaps w:val="false"/>
        </w:rPr>
        <w:t> </w:t>
      </w:r>
    </w:p>
    <w:p>
      <w:pPr>
        <w:pStyle w:val="TextBody"/>
        <w:bidi w:val="0"/>
        <w:spacing w:before="0" w:after="0"/>
        <w:ind w:left="7"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exhibits included as part of this registration statement is set forth in the Exhibit Index immediately prior to the signature page and is incorporated herein by reference.</w:t>
      </w:r>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ind w:left="7" w:right="0" w:hanging="0"/>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275"/>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44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undersigned Registrant hereby undertakes:</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file, during any period in which offers or sales are being made, a post-effective amendment to this registration statement:</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include any prospectus required by Section 10(a)(3) of the Securities Act of 1933, as amended (the “Securities Act”);</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table in the effective registration statement;</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2"/>
        <w:gridCol w:w="9855"/>
      </w:tblGrid>
      <w:tr>
        <w:trPr/>
        <w:tc>
          <w:tcPr>
            <w:tcW w:w="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include any material information with respect to the plan of distribution not previously disclosed in the registration statement or any material change to such information in the registration statement;</w:t>
            </w:r>
          </w:p>
        </w:tc>
      </w:tr>
    </w:tbl>
    <w:p>
      <w:pPr>
        <w:pStyle w:val="TextBody"/>
        <w:bidi w:val="0"/>
        <w:ind w:left="7" w:right="0" w:hanging="0"/>
        <w:jc w:val="both"/>
        <w:rPr>
          <w:caps w:val="false"/>
          <w:smallCaps w:val="false"/>
        </w:rPr>
      </w:pPr>
      <w:r>
        <w:rPr>
          <w:caps w:val="false"/>
          <w:smallCaps w:val="false"/>
        </w:rPr>
        <w:t> </w:t>
      </w:r>
    </w:p>
    <w:p>
      <w:pPr>
        <w:pStyle w:val="TextBody"/>
        <w:bidi w:val="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subparagraphs (a)(1)(i), (a)(1)(ii) and (a)(1)(iii) do not apply if the information required to be included in a post-effective amendment by those paragraphs is contained in reports filed with or furnished to the SEC by the Registrant pursuant to Section 13 or Section 15(d) of the Securities Exchange Act of 1934, as amended, that are incorporated by reference in the registration statement, or is contained in a form of prospectus filed pursuant to Rule 424(b) that is part of the registration statement.</w:t>
      </w:r>
    </w:p>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remove from registration by means of a post-effective amendment any of the securities being registered which remain unsold at the termination of the offering.</w:t>
            </w:r>
          </w:p>
        </w:tc>
      </w:tr>
    </w:tbl>
    <w:p>
      <w:pPr>
        <w:pStyle w:val="TextBody"/>
        <w:bidi w:val="0"/>
        <w:ind w:left="7" w:right="0" w:hanging="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29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82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for the purpose of determining liability under the Securities Act to any purchaser:</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5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0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5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preliminary prospectus or prospectus of the undersigned Registrant relating to the offering required to be filed pursuant to Rule 424;</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free writing prospectus relating to the offering prepared by or on behalf of the undersigned Registrant or used or referred to by the undersigned Registrant;</w:t>
            </w:r>
          </w:p>
        </w:tc>
      </w:tr>
    </w:tbl>
    <w:p>
      <w:pPr>
        <w:pStyle w:val="TextBody"/>
        <w:bidi w:val="0"/>
        <w:ind w:left="7" w:right="0" w:hanging="0"/>
        <w:jc w:val="both"/>
        <w:rPr>
          <w:caps w:val="false"/>
          <w:smallCaps w:val="false"/>
        </w:rPr>
      </w:pPr>
      <w:r>
        <w:rPr>
          <w:caps w:val="false"/>
          <w:smallCaps w:val="false"/>
        </w:rPr>
        <w:t> </w:t>
      </w:r>
    </w:p>
    <w:p>
      <w:pPr>
        <w:pStyle w:val="TextBody"/>
        <w:bidi w:val="0"/>
        <w:spacing w:before="0" w:after="0"/>
        <w:ind w:left="7"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2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communication that is an offer in the offering made by the undersigned Registrant to the purchaser.</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undersigned Registrant hereby undertakes that, for the purpose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undersigned Registrant hereby undertakes to file an application for the purpose of determining the eligibility of the trustee to act under subsection (a) of Section 310 of the Trust Indenture Act of 1939, as amended (the “Trust Indenture Act”), in accordance with the rules and regulations prescribed by the Commission under Section 305(b)(2) of the Trust Indenture Act.</w:t>
            </w:r>
          </w:p>
        </w:tc>
      </w:tr>
    </w:tbl>
    <w:p>
      <w:pPr>
        <w:pStyle w:val="TextBody"/>
        <w:bidi w:val="0"/>
        <w:ind w:left="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4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ind w:left="7" w:right="0" w:hanging="0"/>
        <w:jc w:val="both"/>
        <w:rPr>
          <w:caps w:val="false"/>
          <w:smallCaps w:val="false"/>
        </w:rPr>
      </w:pPr>
      <w:r>
        <w:rPr>
          <w:caps w:val="false"/>
          <w:smallCaps w:val="false"/>
        </w:rPr>
        <w:t> </w:t>
      </w:r>
    </w:p>
    <w:p>
      <w:pPr>
        <w:pStyle w:val="TextBody"/>
        <w:bidi w:val="0"/>
        <w:spacing w:before="0" w:after="0"/>
        <w:ind w:left="7"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ind w:left="7"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hd w:fill="FFFFFF" w:val="clear"/>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785"/>
        <w:gridCol w:w="60"/>
        <w:gridCol w:w="9360"/>
      </w:tblGrid>
      <w:tr>
        <w:trPr/>
        <w:tc>
          <w:tcPr>
            <w:tcW w:w="7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left"/>
              <w:rPr/>
            </w:pPr>
            <w:hyperlink w:anchor="zsquaredex1-2.htm">
              <w:r>
                <w:rPr>
                  <w:rStyle w:val="InternetLink"/>
                  <w:rFonts w:ascii="Times New Roman;Times;Serif" w:hAnsi="Times New Roman;Times;Serif"/>
                  <w:b w:val="false"/>
                  <w:i w:val="false"/>
                  <w:caps w:val="false"/>
                  <w:smallCaps w:val="false"/>
                  <w:sz w:val="20"/>
                </w:rPr>
                <w:t>Sales Agreement, dated July 6, 2026, between Z Squared Inc. and Roth Capital Partners, LLC.</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Agreement and Plan of Merger, dated as of April 25, 2025, by and among Coeptis Therapeutics Holdings, Inc., CP Merger Sub, Inc., and Z Squared Inc. (incorporated by reference to Exhibit 2.1 in the Current Report on Form 8-K filed with the SEC on April 28, 2025).</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Limited Waiver and First Amendment to Merger Agreement, dated as of May 27, 2025 (incorporated by reference to Exhibit 2.2 in the Registration Statement on Form S-4 (File No. 333-288329) filed with the SEC on June 26, 2025).</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Limited Waiver and Second Amendment to Merger Agreement, dated as of June 10, 2025 (incorporated by reference to Exhibit 2.3 in the Registration Statement on Form S-4 (File No. 333-288329) filed with the SEC on June 26, 2025).</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Limited Waiver and Third Amendment to Merger Agreement, dated as of June 20, 2025 (incorporated by reference to Exhibit 2.4 in the Registration Statement on Form S-4 (File No. 333-288329) filed with the SEC on June 26, 2025).</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Limited Waiver and Fourth Amendment to Merger Agreement, dated as of August 17, 2025 (incorporated by reference to Exhibit 2.5 in the Registration Statement on Form S-4 (File No. 333-288329) filed with the SEC on September 12, 2025).</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Limited Waiver and Fifth Amendment to Merger Agreement, dated as of September 10, 2025 (incorporated by reference to Exhibit 2.6 in the Registration Statement on Form S-4 (File No. 333-288329) filed with the SEC on September 12, 2025).</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Limited Waiver and Sixth Amendment to Merger Agreement, dated as of September 30, 2025 (incorporated by reference to Exhibit 2.7 in the Registration Statement on Form S-4 (File No. 333-288329) filed with the SEC on October 3, 2025).</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Amended and Restated Certificate of Incorporation of Z Squared Inc. (formerly Coeptis Therapeutics Holdings, Inc.) (incorporated by reference to Exhibit 3.1 in the Current Report on Form 8-K filed with the SEC on November 3, 2022).</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Certificate of Amendment of Amended and Restated Certificate of Incorporation Coeptis Therapeutics Holdings, Inc. dated December 26, 2024 (incorporated by reference to Exhibit 99.1 in the Current Report on Form 8-K filed with the SEC on December 27, 2024).</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Amendment to Amended and Restated Certificate of Incorporation of Z Squared Inc. (incorporated by reference to Exhibit 3.2 in the Current Report on Form 8-K filed with the SEC on April 30, 2026).</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Second Amended and Restated Bylaws of Z Squared Inc. (incorporated by reference to Exhibit 3.3 in the Quarterly Report on Form 10-Q filed with the SEC on May 15, 2026).</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Certificate of Designation of Preferences, Rights and Limitations of the Series A Preferred Stock (incorporated by reference to Exhibit 99.1 in the Current Report on Form 8-K filed with the SEC on June 20, 2024).</w:t>
              </w:r>
            </w:hyperlink>
          </w:p>
        </w:tc>
      </w:tr>
      <w:tr>
        <w:trPr/>
        <w:tc>
          <w:tcPr>
            <w:tcW w:w="785" w:type="dxa"/>
            <w:tcBorders/>
            <w:shd w:fill="FFFFFF" w:val="clear"/>
            <w:tcMar>
              <w:bottom w:w="0" w:type="dxa"/>
            </w:tcMar>
            <w:vAlign w:val="center"/>
          </w:tcPr>
          <w:p>
            <w:pPr>
              <w:pStyle w:val="TableContents"/>
              <w:bidi w:val="0"/>
              <w:spacing w:before="0" w:after="283"/>
              <w:jc w:val="left"/>
              <w:rPr/>
            </w:pPr>
            <w:r>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r>
              <w:rPr/>
              <w:t>Form of Certificate of Designation</w:t>
            </w:r>
          </w:p>
        </w:tc>
      </w:tr>
      <w:tr>
        <w:trPr/>
        <w:tc>
          <w:tcPr>
            <w:tcW w:w="785" w:type="dxa"/>
            <w:tcBorders/>
            <w:shd w:fill="FFFFFF" w:val="clear"/>
            <w:tcMar>
              <w:bottom w:w="0" w:type="dxa"/>
            </w:tcMar>
            <w:vAlign w:val="center"/>
          </w:tcPr>
          <w:p>
            <w:pPr>
              <w:pStyle w:val="TableContents"/>
              <w:bidi w:val="0"/>
              <w:spacing w:before="0" w:after="283"/>
              <w:jc w:val="left"/>
              <w:rPr/>
            </w:pPr>
            <w:r>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r>
              <w:rPr/>
              <w:t>Form of Warrant Agreement</w:t>
            </w:r>
          </w:p>
        </w:tc>
      </w:tr>
      <w:tr>
        <w:trPr/>
        <w:tc>
          <w:tcPr>
            <w:tcW w:w="785" w:type="dxa"/>
            <w:tcBorders/>
            <w:shd w:fill="FFFFFF" w:val="clear"/>
            <w:tcMar>
              <w:bottom w:w="0" w:type="dxa"/>
            </w:tcMar>
            <w:vAlign w:val="center"/>
          </w:tcPr>
          <w:p>
            <w:pPr>
              <w:pStyle w:val="TableContents"/>
              <w:bidi w:val="0"/>
              <w:spacing w:before="0" w:after="283"/>
              <w:jc w:val="left"/>
              <w:rPr/>
            </w:pPr>
            <w:r>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r>
              <w:rPr/>
              <w:t>Form of Warrant</w:t>
            </w:r>
          </w:p>
        </w:tc>
      </w:tr>
      <w:tr>
        <w:trPr/>
        <w:tc>
          <w:tcPr>
            <w:tcW w:w="785" w:type="dxa"/>
            <w:tcBorders/>
            <w:shd w:fill="FFFFFF" w:val="clear"/>
            <w:tcMar>
              <w:bottom w:w="0" w:type="dxa"/>
            </w:tcMar>
            <w:vAlign w:val="center"/>
          </w:tcPr>
          <w:p>
            <w:pPr>
              <w:pStyle w:val="TableContents"/>
              <w:bidi w:val="0"/>
              <w:spacing w:before="0" w:after="283"/>
              <w:jc w:val="left"/>
              <w:rPr/>
            </w:pPr>
            <w:r>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r>
              <w:rPr/>
              <w:t>Form of Rights Agreement</w:t>
            </w:r>
          </w:p>
        </w:tc>
      </w:tr>
      <w:tr>
        <w:trPr/>
        <w:tc>
          <w:tcPr>
            <w:tcW w:w="785" w:type="dxa"/>
            <w:tcBorders/>
            <w:shd w:fill="FFFFFF" w:val="clear"/>
            <w:tcMar>
              <w:bottom w:w="0" w:type="dxa"/>
            </w:tcMar>
            <w:vAlign w:val="center"/>
          </w:tcPr>
          <w:p>
            <w:pPr>
              <w:pStyle w:val="TableContents"/>
              <w:bidi w:val="0"/>
              <w:spacing w:before="0" w:after="283"/>
              <w:jc w:val="left"/>
              <w:rPr/>
            </w:pPr>
            <w:r>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r>
              <w:rPr/>
              <w:t>Form of Unit Agreement</w:t>
            </w:r>
          </w:p>
        </w:tc>
      </w:tr>
      <w:tr>
        <w:trPr/>
        <w:tc>
          <w:tcPr>
            <w:tcW w:w="785" w:type="dxa"/>
            <w:tcBorders/>
            <w:shd w:fill="FFFFFF" w:val="clear"/>
            <w:tcMar>
              <w:bottom w:w="0" w:type="dxa"/>
            </w:tcMar>
            <w:vAlign w:val="center"/>
          </w:tcPr>
          <w:p>
            <w:pPr>
              <w:pStyle w:val="TableContents"/>
              <w:bidi w:val="0"/>
              <w:spacing w:before="0" w:after="283"/>
              <w:jc w:val="left"/>
              <w:rPr/>
            </w:pPr>
            <w:r>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r>
              <w:rPr/>
              <w:t>Specimen Preferred Stock Certificate</w:t>
            </w:r>
          </w:p>
        </w:tc>
      </w:tr>
      <w:tr>
        <w:trPr/>
        <w:tc>
          <w:tcPr>
            <w:tcW w:w="785" w:type="dxa"/>
            <w:tcBorders/>
            <w:shd w:fill="FFFFFF" w:val="clear"/>
            <w:tcMar>
              <w:bottom w:w="0" w:type="dxa"/>
            </w:tcMar>
            <w:vAlign w:val="center"/>
          </w:tcPr>
          <w:p>
            <w:pPr>
              <w:pStyle w:val="TableContents"/>
              <w:bidi w:val="0"/>
              <w:spacing w:before="0" w:after="283"/>
              <w:jc w:val="left"/>
              <w:rPr/>
            </w:pPr>
            <w:r>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r>
              <w:rPr/>
              <w:t>Form of Indenture</w:t>
            </w:r>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w:anchor="zsquaredex5-1.htm">
              <w:r>
                <w:rPr>
                  <w:rStyle w:val="InternetLink"/>
                  <w:rFonts w:ascii="Times New Roman;Times;Serif" w:hAnsi="Times New Roman;Times;Serif"/>
                  <w:b w:val="false"/>
                  <w:i w:val="false"/>
                  <w:caps w:val="false"/>
                  <w:smallCaps w:val="false"/>
                  <w:sz w:val="20"/>
                </w:rPr>
                <w:t>Opinion of Zarif Law Group P.C.</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Employment Agreement between Coeptis Therapeutics, Inc. (now known as Z Squared Inc.) and David Mehalick (incorporated by reference to Exhibit 4.1 in the Current Report on Form 8-K filed with the SEC on February 25, 2022).</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Standby Equity Purchase Agreement, dated November 1, 2024, between Coeptis Therapeutics Holdings, Inc. and YA II PN, Ltd. (incorporated by reference to Exhibit 10.1 in the Current Report on Form 8-K filed with the SEC on November 6, 2024).</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Convertible Promissory Note issued to YA II PN, Ltd. (incorporated by reference to Exhibit 10.2 in the Current Report on Form 8-K filed with the SEC on November 6, 2024).</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Registration Rights Agreement, dated November 1, 2024, between Coeptis Therapeutics Holdings, Inc. and YA II PN, Ltd. (incorporated by reference to Exhibit 10.3 in the Current Report on Form 8-K filed with the SEC on November 6, 2024).</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Convertible Promissory Note issued to YA II PN, Ltd. (incorporated by reference to Exhibit 10.1 in the Current Report on Form 8-K filed with the SEC on January 24, 2025).</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Form of Voting Agreement, dated as of April 25, 2025, by and among Z Squared Inc. and certain stockholders of Coeptis (incorporated by reference to Exhibit 10.1 in the Current Report on Form 8-K filed with the SEC on April 28, 2025).</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Amended and Restated Asset-For-Share Exchange Agreement, dated June 24, 2025, between BSG Series CM, LLC and Z Squared Inc. (incorporated by reference to Exhibit 10.1 in the Current Report on Form 8-K filed with the SEC on April 30, 2026).</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Employment Agreement by and between Z Squared Inc. and Michelle Burke dated June 25, 2025 (incorporated by reference to Exhibit 10.13 in the Current Report on Form 8-K filed with the SEC on April 30, 2026).</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Master Services Agreement between Minting Dome Inc. and Z Squared Inc., dated July 26, 2025 (incorporated by reference to Exhibit 10.25 in the Registration Statement on Form S-4 (File No. 333-288329) filed with the SEC on June 26, 2025).</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0" w:type="dxa"/>
            <w:tcBorders/>
            <w:shd w:fill="FFFFFF" w:val="clear"/>
            <w:tcMar>
              <w:bottom w:w="0" w:type="dxa"/>
            </w:tcM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Master Custody Services Agreement between Anchorage Digital Bank, National Association and Z Squared Inc., dated August 14, 2025 (incorporated by reference to Exhibit 10.24 in the Registration Statement on Form S-4/A (File No. 333-288329) filed with the SEC on October 3, 2025).</w:t>
              </w:r>
            </w:hyperlink>
          </w:p>
        </w:tc>
      </w:tr>
    </w:tbl>
    <w:p>
      <w:pPr>
        <w:pStyle w:val="TextBody"/>
        <w:shd w:fill="FFFFFF" w:val="clear"/>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591"/>
        <w:gridCol w:w="60"/>
        <w:gridCol w:w="9554"/>
      </w:tblGrid>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Investor Relations Consulting Agreement, dated December 8, 2025, by and between Z Squared Inc. and MZHCI, LLC (incorporated by reference to Exhibit 10.4 in the Current Report on Form 8-K filed with the SEC on May 1,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"http://www.sec.gov/Archives/edgar/data/1759186/000168316825009287/coeptis_s4a5.htm" \l "annex_c"</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Z Squared Inc. 2025 Incentive Compensation Plan (incorporated by reference to Annex C in the Registration Statement on Form S-4/A (File No. 333-288329) filed with the SEC on December 22, 2025).</w:t>
            </w:r>
            <w:r>
              <w:rPr>
                <w:rStyle w:val="InternetLink"/>
                <w:smallCaps w:val="false"/>
                <w:caps w:val="false"/>
                <w:sz w:val="20"/>
                <w:i w:val="false"/>
                <w:b w:val="false"/>
                <w:rFonts w:ascii="Times New Roman;Times;Serif" w:hAnsi="Times New Roman;Times;Serif"/>
              </w:rPr>
              <w:fldChar w:fldCharType="end"/>
            </w:r>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Corporate Services Agreement, dated as of January 23, 2026, by and between Z Squared Inc. and Moneta Advisory Partners, LLC (including the Milestone-Based Equity Award Schedule attached as Exhibit B thereto) (incorporated by reference to Exhibit 10.3 in the Current Report on Form 8-K filed with the SEC on May 1,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First Amendment to the Amended and Restated Asset-For-Share Exchange Agreement, dated February 10, 2026 (incorporated by reference to Exhibit 10.2 in the Current Report on Form 8-K filed with the SEC on April 30,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Marketing Services Agreement, dated February 24, 2026, by and between Z Squared Inc. and Fulcrum New Amsterdam LLC (d/b/a Retail Sparks) (incorporated by reference to Exhibit 10.5 in the Current Report on Form 8-K filed with the SEC on May 1,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Second Amendment to the Amended and Restated Asset-For-Share Exchange Agreement, dated April 23, 2026 (incorporated by reference to Exhibit 10.3 in the Current Report on Form 8-K filed with the SEC on April 30,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Indemnification Agreement by and between Z Squared Inc. and David Halabu (incorporated by reference to Exhibit 10.6 in the Current Report on Form 8-K filed with the SEC on April 30,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Indemnification Agreement by and between Z Squared Inc. and Adam Sohn (incorporated by reference to Exhibit 10.7 in the Current Report on Form 8-K filed with the SEC on April 30,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Indemnification Agreement by and between Z Squared Inc. and Bryan Fuerst (incorporated by reference to Exhibit 10.8 in the Current Report on Form 8-K filed with the SEC on April 30,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Indemnification Agreement by and between Z Squared Inc. and Kenneth Cooper (incorporated by reference to Exhibit 10.9 in the Current Report on Form 8-K filed with the SEC on April 30,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Indemnification Agreement by and between Z Squared Inc. and Michelle Burke (incorporated by reference to Exhibit 10.10 in the Current Report on Form 8-K filed with the SEC on April 30,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Indemnification Agreement by and between Z Squared Inc. and Brian Cogley (incorporated by reference to Exhibit 10.11 in the Current Report on Form 8-K filed with the SEC on April 30,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Amended and Restated Executive Employment Agreement, dated April 27, 2026, by and between Z Squared Inc. and David Halabu (incorporated by reference to Exhibit 10.6 in the Current Report on Form 8-K filed with the SEC on May 1,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Amended and Restated Executive Employment Agreement, dated April 27, 2026, by and between Z Squared Inc. and Brian Cogley (incorporated by reference to Exhibit 10.7 in the Current Report on Form 8-K filed with the SEC on May 1,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Executive Employment Agreement, dated April 27, 2026, by and between Z Squared Inc. and Ryan Schadel (incorporated by reference to Exhibit 10.8 in the Current Report on Form 8-K filed with the SEC on May 1,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Binding Letter of Intent, dated April 28, 2026, by and among Z Squared Inc., MN Data Centers JV LLC, and Claw Holdings, LLC (incorporated by reference to Exhibit 10.1 in the Current Report on Form 8-K filed with the SEC on May 1,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Committed Equity Forward Purchase Agreement, dated as of May 29, 2026, between Z Squared Inc. and LucentHash / Data Part Capital (incorporated by reference to Exhibit 10.1 in the Current Report on Form 8-K filed with the SEC on June 4,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Form of Independent Director Agreement (incorporated by reference to Exhibit 10.9 in the Current Report on Form 8-K filed with the SEC on May 1,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Z Squared Inc. Non-Employee Director Compensation Program (incorporated by reference to Exhibit 10.10 in the Current Report on Form 8-K filed with the SEC on May 1,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76">
              <w:r>
                <w:rPr>
                  <w:rStyle w:val="InternetLink"/>
                  <w:rFonts w:ascii="Times New Roman;Times;Serif" w:hAnsi="Times New Roman;Times;Serif"/>
                  <w:b w:val="false"/>
                  <w:i w:val="false"/>
                  <w:caps w:val="false"/>
                  <w:smallCaps w:val="false"/>
                  <w:sz w:val="20"/>
                </w:rPr>
                <w:t>Form of Stock Option Award Agreement under the Z Squared Inc. 2025 Incentive Compensation Plan (incorporated by reference to Exhibit 10.12 in the Current Report on Form 8-K filed with the SEC on May 1,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77">
              <w:r>
                <w:rPr>
                  <w:rStyle w:val="InternetLink"/>
                  <w:rFonts w:ascii="Times New Roman;Times;Serif" w:hAnsi="Times New Roman;Times;Serif"/>
                  <w:b w:val="false"/>
                  <w:i w:val="false"/>
                  <w:caps w:val="false"/>
                  <w:smallCaps w:val="false"/>
                  <w:sz w:val="20"/>
                </w:rPr>
                <w:t>Form of Restricted Stock Unit Award Agreement under the Z Squared Inc. 2025 Incentive Compensation Plan (incorporated by reference to Exhibit 10.13 in the Current Report on Form 8-K filed with the SEC on May 1,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78">
              <w:r>
                <w:rPr>
                  <w:rStyle w:val="InternetLink"/>
                  <w:rFonts w:ascii="Times New Roman;Times;Serif" w:hAnsi="Times New Roman;Times;Serif"/>
                  <w:b w:val="false"/>
                  <w:i w:val="false"/>
                  <w:caps w:val="false"/>
                  <w:smallCaps w:val="false"/>
                  <w:sz w:val="20"/>
                </w:rPr>
                <w:t>Form of Restricted Stock Award Agreement under the Z Squared Inc. 2025 Incentive Compensation Plan (incorporated by reference to Exhibit 10.14 in the Current Report on Form 8-K filed with the SEC on May 1,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rPr>
                <w:t>Binding Letter of Intent, dated June 18, 2026, by and among Z Squared Inc., Paradox Data LLC, and the Sellers party thereto (incorporated by reference to Exhibit 10.1 to the Current Report on Form 8-K filed with the SEC on June 26,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80">
              <w:r>
                <w:rPr>
                  <w:rStyle w:val="InternetLink"/>
                  <w:rFonts w:ascii="Times New Roman;Times;Serif" w:hAnsi="Times New Roman;Times;Serif"/>
                  <w:b w:val="false"/>
                  <w:i w:val="false"/>
                  <w:caps w:val="false"/>
                  <w:smallCaps w:val="false"/>
                  <w:sz w:val="20"/>
                </w:rPr>
                <w:t>Executive Employment Agreement, dated as of June 24, 2026, between Z Squared Inc. and Jeffery Harris (incorporated by reference to Exhibit 10.1 to the Current Report on Form 8-K filed with the SEC on June 30,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Subsidiaries of Z Squared Inc. (incorporated by reference to Exhibit 21.1 in the Current Report on Form 8-K filed with the SEC on April 30, 2026).</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w:anchor="zsquaredex5-1.htm">
              <w:r>
                <w:rPr>
                  <w:rStyle w:val="InternetLink"/>
                  <w:rFonts w:ascii="Times New Roman;Times;Serif" w:hAnsi="Times New Roman;Times;Serif"/>
                  <w:b w:val="false"/>
                  <w:i w:val="false"/>
                  <w:caps w:val="false"/>
                  <w:smallCaps w:val="false"/>
                  <w:sz w:val="20"/>
                </w:rPr>
                <w:t>Consent of Zarif Law Group P.C. (included in Exhibit 5.1).</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w:anchor="zsquaredex23-2.htm">
              <w:r>
                <w:rPr>
                  <w:rStyle w:val="InternetLink"/>
                  <w:rFonts w:ascii="Times New Roman;Times;Serif" w:hAnsi="Times New Roman;Times;Serif"/>
                  <w:b w:val="false"/>
                  <w:i w:val="false"/>
                  <w:caps w:val="false"/>
                  <w:smallCaps w:val="false"/>
                  <w:sz w:val="20"/>
                </w:rPr>
                <w:t>Consent of Stephano Slack LLC, independent registered public accounting firm.</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w:anchor="zsquaredex23-3.htm">
              <w:r>
                <w:rPr>
                  <w:rStyle w:val="InternetLink"/>
                  <w:rFonts w:ascii="Times New Roman;Times;Serif" w:hAnsi="Times New Roman;Times;Serif"/>
                  <w:b w:val="false"/>
                  <w:i w:val="false"/>
                  <w:caps w:val="false"/>
                  <w:smallCaps w:val="false"/>
                  <w:sz w:val="20"/>
                </w:rPr>
                <w:t>Consent of Astra Audit &amp; Advisory LLC, independent registered public accounting firm.</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w:anchor="signature">
              <w:r>
                <w:rPr>
                  <w:rStyle w:val="InternetLink"/>
                  <w:rFonts w:ascii="Times New Roman;Times;Serif" w:hAnsi="Times New Roman;Times;Serif"/>
                  <w:b w:val="false"/>
                  <w:i w:val="false"/>
                  <w:caps w:val="false"/>
                  <w:smallCaps w:val="false"/>
                  <w:sz w:val="20"/>
                </w:rPr>
                <w:t>Power of Attorney (included on the signature page hereto)</w:t>
              </w:r>
            </w:hyperlink>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T-1 Statement of Eligibility to act as trustee under Indenture</w:t>
            </w:r>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r>
        <w:trPr/>
        <w:tc>
          <w:tcPr>
            <w:tcW w:w="5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4" w:type="dxa"/>
            <w:tcBorders/>
            <w:shd w:fill="FFFFFF" w:val="clear"/>
            <w:vAlign w:val="center"/>
          </w:tcPr>
          <w:p>
            <w:pPr>
              <w:pStyle w:val="TableContents"/>
              <w:bidi w:val="0"/>
              <w:spacing w:before="0" w:after="283"/>
              <w:jc w:val="both"/>
              <w:rPr/>
            </w:pPr>
            <w:hyperlink w:anchor="zsquaredex-fee.htm">
              <w:r>
                <w:rPr>
                  <w:rStyle w:val="InternetLink"/>
                  <w:rFonts w:ascii="Times New Roman;Times;Serif" w:hAnsi="Times New Roman;Times;Serif"/>
                  <w:b w:val="false"/>
                  <w:i w:val="false"/>
                  <w:caps w:val="false"/>
                  <w:smallCaps w:val="false"/>
                  <w:sz w:val="20"/>
                </w:rPr>
                <w:t>Filing Fee Table.</w:t>
              </w:r>
            </w:hyperlink>
          </w:p>
        </w:tc>
      </w:tr>
    </w:tbl>
    <w:p>
      <w:pPr>
        <w:pStyle w:val="TextBody"/>
        <w:shd w:fill="FFFFFF" w:val="clear"/>
        <w:bidi w:val="0"/>
        <w:jc w:val="left"/>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12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Schedules and exhibits omitted pursuant to Item 601(a)(5) of Regulation S-K. The registrant agrees to furnish supplementally a copy of any omitted schedule or exhibit to the Securities and Exchange Commission upon request.</w:t>
            </w:r>
          </w:p>
        </w:tc>
      </w:tr>
    </w:tbl>
    <w:p>
      <w:pPr>
        <w:pStyle w:val="TextBody"/>
        <w:bidi w:val="0"/>
        <w:jc w:val="left"/>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335"/>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20"/>
              </w:rPr>
            </w:pPr>
            <w:r>
              <w:rPr>
                <w:sz w:val="20"/>
              </w:rPr>
              <w:t>***</w:t>
            </w:r>
          </w:p>
        </w:tc>
        <w:tc>
          <w:tcPr>
            <w:tcW w:w="9695" w:type="dxa"/>
            <w:tcBorders/>
            <w:vAlign w:val="center"/>
          </w:tcPr>
          <w:p>
            <w:pPr>
              <w:pStyle w:val="TableContents"/>
              <w:bidi w:val="0"/>
              <w:spacing w:before="0" w:after="283"/>
              <w:jc w:val="both"/>
              <w:rPr>
                <w:sz w:val="20"/>
              </w:rPr>
            </w:pPr>
            <w:r>
              <w:rPr>
                <w:sz w:val="20"/>
              </w:rPr>
              <w:t>To be filed by amendment or incorporated by reference in connection with the offering of any securities, as appropriate.</w:t>
            </w:r>
          </w:p>
        </w:tc>
      </w:tr>
    </w:tbl>
    <w:p>
      <w:pPr>
        <w:pStyle w:val="TextBody"/>
        <w:bidi w:val="0"/>
        <w:jc w:val="left"/>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14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Indicates a management contract or compensatory plan, contract, or arrangement.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information contained in this exhibit, marked by brackets or asterisks, has been omitted because it is both (i) not material and (ii) the type that the registrant treats as private or confidential. The registrant hereby agrees to furnish supplementally an unredacted copy of the exhibit to the Securities and Exchange Commission upon request.</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4" w:name="signature"/>
      <w:bookmarkEnd w:id="34"/>
      <w:r>
        <w:rPr>
          <w:rFonts w:ascii="Times New Roman;Times;Serif" w:hAnsi="Times New Roman;Times;Serif"/>
          <w:b/>
          <w:i w:val="false"/>
          <w:caps w:val="false"/>
          <w:smallCaps w:val="false"/>
          <w:sz w:val="20"/>
        </w:rPr>
        <w:t>SIGNATURES</w:t>
      </w:r>
    </w:p>
    <w:p>
      <w:pPr>
        <w:pStyle w:val="TextBody"/>
        <w:bidi w:val="0"/>
        <w:ind w:left="7" w:right="0" w:hanging="0"/>
        <w:jc w:val="both"/>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Fort Lauderdale, State of Florid, on July 6, 2026.</w:t>
      </w:r>
    </w:p>
    <w:p>
      <w:pPr>
        <w:pStyle w:val="TextBody"/>
        <w:bidi w:val="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320"/>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Halabu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Halabu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ind w:left="7" w:right="0" w:hanging="0"/>
        <w:jc w:val="both"/>
        <w:rPr>
          <w:caps w:val="false"/>
          <w:smallCaps w:val="false"/>
        </w:rPr>
      </w:pPr>
      <w:r>
        <w:rPr>
          <w:caps w:val="false"/>
          <w:smallCaps w:val="false"/>
        </w:rPr>
        <w:t> </w:t>
      </w:r>
    </w:p>
    <w:p>
      <w:pPr>
        <w:pStyle w:val="TextBody"/>
        <w:bidi w:val="0"/>
        <w:ind w:left="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ind w:left="7" w:right="0" w:hanging="0"/>
        <w:jc w:val="center"/>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each of David Halabu and Brian Cogley, or either of them, each acting alone, his or her true and lawful attorney-in-fact and agent, with full power of substitution and re-substitution, for such person and in his or her name, place and stead, in any and all capacities, in connection with the Registrant’s Registration Statement on Form S-3 under the Securities Act of 1933, as amended (the “Securities Act”), any and all pre-effective and post-effective amendments to this Registration Statement, and any Registration Statement filed pursuant to Rule 413 or Rule 462 under the Securities Act, and to file or cause to be filed the same, with all exhibits thereto and other documents in connection therewith, with the SEC, granting unto said attorneys-in-fact and agents, and each of them singly, full power and authority to do and perform each and every act and thing requisite and necessary to be done in and about the foregoing, as fully and to all intents and purposes as each might or could do in person hereby ratifying and confirming all that said attorneys-in-fact and agents, or their substitute or substitutes, may lawfully do or cause to be done by virtue of this Power of Attorney.</w:t>
      </w:r>
    </w:p>
    <w:p>
      <w:pPr>
        <w:pStyle w:val="TextBody"/>
        <w:bidi w:val="0"/>
        <w:ind w:left="7" w:right="0" w:firstLine="675"/>
        <w:jc w:val="both"/>
        <w:rPr>
          <w:caps w:val="false"/>
          <w:smallCaps w:val="false"/>
        </w:rPr>
      </w:pPr>
      <w:r>
        <w:rPr>
          <w:caps w:val="false"/>
          <w:smallCaps w:val="false"/>
        </w:rPr>
        <w:t> </w:t>
      </w:r>
    </w:p>
    <w:p>
      <w:pPr>
        <w:pStyle w:val="TextBody"/>
        <w:bidi w:val="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jc w:val="left"/>
        <w:rPr>
          <w:caps w:val="false"/>
          <w:smallCaps w:val="false"/>
        </w:rPr>
      </w:pPr>
      <w:r>
        <w:rPr>
          <w:caps w:val="false"/>
          <w:smallCaps w:val="false"/>
        </w:rPr>
        <w:t> </w:t>
      </w:r>
    </w:p>
    <w:tbl>
      <w:tblPr>
        <w:tblW w:w="7455" w:type="dxa"/>
        <w:jc w:val="left"/>
        <w:tblInd w:w="0" w:type="dxa"/>
        <w:tblLayout w:type="fixed"/>
        <w:tblCellMar>
          <w:top w:w="0" w:type="dxa"/>
          <w:left w:w="0" w:type="dxa"/>
          <w:bottom w:w="28" w:type="dxa"/>
          <w:right w:w="0" w:type="dxa"/>
        </w:tblCellMar>
      </w:tblPr>
      <w:tblGrid>
        <w:gridCol w:w="1880"/>
        <w:gridCol w:w="60"/>
        <w:gridCol w:w="4250"/>
        <w:gridCol w:w="60"/>
        <w:gridCol w:w="1205"/>
      </w:tblGrid>
      <w:tr>
        <w:trPr/>
        <w:tc>
          <w:tcPr>
            <w:tcW w:w="1880" w:type="dxa"/>
            <w:tcBorders>
              <w:bottom w:val="single" w:sz="8"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center"/>
              <w:rPr/>
            </w:pPr>
            <w:r>
              <w:rPr/>
              <w:t> </w:t>
            </w:r>
          </w:p>
        </w:tc>
        <w:tc>
          <w:tcPr>
            <w:tcW w:w="4250"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center"/>
              <w:rPr/>
            </w:pPr>
            <w:r>
              <w:rPr/>
              <w:t> </w:t>
            </w:r>
          </w:p>
        </w:tc>
        <w:tc>
          <w:tcPr>
            <w:tcW w:w="1205" w:type="dxa"/>
            <w:tcBorders>
              <w:bottom w:val="single" w:sz="8" w:space="0" w:color="000000"/>
            </w:tcBorders>
            <w:vAlign w:val="center"/>
          </w:tcPr>
          <w:p>
            <w:pPr>
              <w:pStyle w:val="TableContents"/>
              <w:bidi w:val="0"/>
              <w:spacing w:before="0" w:after="283"/>
              <w:jc w:val="center"/>
              <w:rPr>
                <w:b/>
              </w:rPr>
            </w:pPr>
            <w:r>
              <w:rPr>
                <w:b/>
              </w:rPr>
              <w:t>Date</w:t>
            </w:r>
          </w:p>
        </w:tc>
      </w:tr>
      <w:tr>
        <w:trPr/>
        <w:tc>
          <w:tcPr>
            <w:tcW w:w="18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2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8" w:space="0" w:color="000000"/>
            </w:tcBorders>
            <w:vAlign w:val="center"/>
          </w:tcPr>
          <w:p>
            <w:pPr>
              <w:pStyle w:val="TableContents"/>
              <w:bidi w:val="0"/>
              <w:spacing w:before="0" w:after="283"/>
              <w:jc w:val="left"/>
              <w:rPr/>
            </w:pPr>
            <w:r>
              <w:rPr/>
              <w:t>/s/ David Halabu</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6, 2026</w:t>
            </w:r>
          </w:p>
        </w:tc>
      </w:tr>
      <w:tr>
        <w:trPr/>
        <w:tc>
          <w:tcPr>
            <w:tcW w:w="1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8" w:space="0" w:color="000000"/>
            </w:tcBorders>
            <w:vAlign w:val="center"/>
          </w:tcPr>
          <w:p>
            <w:pPr>
              <w:pStyle w:val="TableContents"/>
              <w:bidi w:val="0"/>
              <w:spacing w:before="0" w:after="283"/>
              <w:jc w:val="left"/>
              <w:rPr/>
            </w:pPr>
            <w:r>
              <w:rPr/>
              <w:t>/s/ Brian Cogley</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6, 2026</w:t>
            </w:r>
          </w:p>
        </w:tc>
      </w:tr>
      <w:tr>
        <w:trPr/>
        <w:tc>
          <w:tcPr>
            <w:tcW w:w="1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8" w:space="0" w:color="000000"/>
            </w:tcBorders>
            <w:vAlign w:val="center"/>
          </w:tcPr>
          <w:p>
            <w:pPr>
              <w:pStyle w:val="TableContents"/>
              <w:bidi w:val="0"/>
              <w:spacing w:before="0" w:after="283"/>
              <w:jc w:val="left"/>
              <w:rPr/>
            </w:pPr>
            <w:r>
              <w:rPr/>
              <w:t>/s/ Adam Sohn</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6, 2026</w:t>
            </w:r>
          </w:p>
        </w:tc>
      </w:tr>
      <w:tr>
        <w:trPr/>
        <w:tc>
          <w:tcPr>
            <w:tcW w:w="1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8" w:space="0" w:color="000000"/>
            </w:tcBorders>
            <w:vAlign w:val="center"/>
          </w:tcPr>
          <w:p>
            <w:pPr>
              <w:pStyle w:val="TableContents"/>
              <w:bidi w:val="0"/>
              <w:spacing w:before="0" w:after="283"/>
              <w:jc w:val="left"/>
              <w:rPr/>
            </w:pPr>
            <w:r>
              <w:rPr/>
              <w:t>/s/ Bryan Fuerst</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6, 2026</w:t>
            </w:r>
          </w:p>
        </w:tc>
      </w:tr>
      <w:tr>
        <w:trPr/>
        <w:tc>
          <w:tcPr>
            <w:tcW w:w="1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8" w:space="0" w:color="000000"/>
            </w:tcBorders>
            <w:vAlign w:val="center"/>
          </w:tcPr>
          <w:p>
            <w:pPr>
              <w:pStyle w:val="TableContents"/>
              <w:bidi w:val="0"/>
              <w:spacing w:before="0" w:after="283"/>
              <w:jc w:val="left"/>
              <w:rPr/>
            </w:pPr>
            <w:r>
              <w:rPr/>
              <w:t>/s/ Kenneth Cooper</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6, 2026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35" w:name="zsquaredex1-2.htm"/>
      <w:bookmarkStart w:id="36" w:name="kszsquaredex12"/>
      <w:bookmarkEnd w:id="35"/>
      <w:bookmarkEnd w:id="36"/>
      <w:r>
        <w:rPr>
          <w:rFonts w:ascii="Times New Roman;Times;Serif" w:hAnsi="Times New Roman;Times;Serif"/>
          <w:b/>
          <w:i w:val="false"/>
          <w:caps w:val="false"/>
          <w:smallCaps w:val="false"/>
          <w:sz w:val="20"/>
        </w:rPr>
        <w:t>Exhibit 1.2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($0.0001 par value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Suite 400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 92660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Squared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Roth Capital Partners, LLC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through or to the Agent, in each case as sales agent or principal, shares (the “</w:t>
      </w:r>
      <w:r>
        <w:rPr>
          <w:rFonts w:ascii="Times New Roman;Times;Serif" w:hAnsi="Times New Roman;Times;Serif"/>
          <w:b w:val="false"/>
          <w:i w:val="false"/>
          <w:caps w:val="false"/>
          <w:smallCaps w:val="false"/>
          <w:sz w:val="20"/>
          <w:u w:val="single"/>
        </w:rPr>
        <w:t>Placement Shares</w:t>
      </w:r>
      <w:r>
        <w:rPr>
          <w:rFonts w:ascii="Times New Roman;Times;Serif" w:hAnsi="Times New Roman;Times;Serif"/>
          <w:b w:val="false"/>
          <w:i w:val="false"/>
          <w:caps w:val="false"/>
          <w:smallCaps w:val="false"/>
          <w:sz w:val="20"/>
        </w:rPr>
        <w:t>”) of common stock of the Company, $0.0001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having an aggregate offering price of up to three hundred million dollars($300,000,000),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no event shall the Company issue or sell through Agent such number of Placement Shares that (a) exceeds the number or dollar amount of shares of Common Stock that may be sold pursuant to the Registration Statement (as defined below), or (b) exceeds the number of authorized but unissued shares of Common Stock of the Company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Notwithstanding anything to the contrary contained herein, the parties hereto agree that compliance with the limitations set forth in this Section 1 on the amount of Placement Shares issued and sold under this Agreement shall be the sole responsibility of the Company and that Agent shall have no obligation in connection with such compliance. The issuance and sale of Placement Shares through or to Agent will be effected pursuant to the Registration Statement (as defined below) filed by the Company and declared effective by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although nothing in this Agreement shall be construed as requiring the Company to use the Registration Statement to issue any Placement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or has filed, in accordance with the provisions of the Securities Act of 1933, as amended, and the rules and regulations thereunder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with the Commission an “automatic shelf registration statement” as defined under Rule 405 of the Securities Act on Form S-3,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The Company has prepared a prospectus supplement specifically relating to the Placement Shares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to the base prospectus included as part of such registration statement. The Company will furnish to the Agent, for use by the Agent, copies of the prospectus included as part of such registration statement, as supplemented by the Prospectus Supplement, relating to the Placement Shares. Except where the context otherwise requires, such registration statement,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or any subsequent registration statement on Form S-3 filed pursuant to Rule 415(a)(6) under the Securities Act by the Company to cover any Placement Shares, is herein called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then issued Issuer Free Writing Prospectus (defined below), is herein called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Any reference herein to the Registration Statement, the Prospectus or any amendment or supplement thereto, shall be deemed to refer to and include the documents incorporated or deemed to be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(the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For purposes of this Agreement, all references to the Registration Statement, the Prospectus or to any amendment or supplement thereto shall be deemed to include any copy filed with the Commission pursuant to its Electronic Data Gathering Analysis and Retrieval System, or if applicable, the Interactive Data Electronic Application system when used by the Commission (collectively,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Placement Shares hereunder (each, a “</w:t>
      </w:r>
      <w:r>
        <w:rPr>
          <w:rFonts w:ascii="Times New Roman;Times;Serif" w:hAnsi="Times New Roman;Times;Serif"/>
          <w:b w:val="false"/>
          <w:i w:val="false"/>
          <w:caps w:val="false"/>
          <w:smallCaps w:val="false"/>
          <w:sz w:val="20"/>
          <w:u w:val="single"/>
        </w:rPr>
        <w:t>Placement</w:t>
      </w:r>
      <w:r>
        <w:rPr>
          <w:rFonts w:ascii="Times New Roman;Times;Serif" w:hAnsi="Times New Roman;Times;Serif"/>
          <w:b w:val="false"/>
          <w:i w:val="false"/>
          <w:caps w:val="false"/>
          <w:smallCaps w:val="false"/>
          <w:sz w:val="20"/>
        </w:rPr>
        <w:t>”), it will notify the Agent by email notice (or other method mutually agreed to in writing by the Parties) of the number or dollar value of Placement Shares, the time period during which sales are requested to be made, any limitation on the number of Placement Shares that may be sold in any one day and any minimum price below which sales may not be made (a “</w:t>
      </w:r>
      <w:r>
        <w:rPr>
          <w:rFonts w:ascii="Times New Roman;Times;Serif" w:hAnsi="Times New Roman;Times;Serif"/>
          <w:b w:val="false"/>
          <w:i w:val="false"/>
          <w:caps w:val="false"/>
          <w:smallCaps w:val="false"/>
          <w:sz w:val="20"/>
          <w:u w:val="single"/>
        </w:rPr>
        <w:t>Placement Notice</w:t>
      </w:r>
      <w:r>
        <w:rPr>
          <w:rFonts w:ascii="Times New Roman;Times;Serif" w:hAnsi="Times New Roman;Times;Serif"/>
          <w:b w:val="false"/>
          <w:i w:val="false"/>
          <w:caps w:val="false"/>
          <w:smallCaps w:val="false"/>
          <w:sz w:val="20"/>
        </w:rPr>
        <w:t>”), the form of which is attached hereto as Schedule 1. The Placement Notice shall originate from any of the individuals from the Company set forth on Schedule 3 (with a copy to each of the other individuals from the Company listed on such schedule), and shall be addressed to each of the individuals from the Agent set forth on Schedule 3, as such Schedule 3 may be amended from time to time. The Placement Notice shall be effective unless and until (i) the Agent declines to accept the terms contained therein for any reason, in its sole discretion, (ii) the entire amount of the Placement Shares thereunder have been sold, (iii) the Company suspends or terminates the Placement Notice or (iv) the Agreement has been terminated under the provisions of Section 12. The amount of any discount, commission or other compensation to be paid by the Company to Agent in connection with the sale of the Placement Shares shall be calculated in accordance with the terms set forth in Schedule 2.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Sale of Placement Shares by Agent</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the Agent, for the period specified in the Placement Notice, will use its commercially reasonable efforts consistent with its normal trading and sales practices and applicable state and federal laws, rules and regulations and the rules of the Nasdaq Global Market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to sell the Placement Shares up to the amount specified,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respect to such sales, and the Net Proceeds (as defined below) payable to the Company, with an itemization of the deductions made by the Agent (as set forth in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from the gross proceeds that it receives from such sales. Subject to the terms of the Placement Notice, the Agent may sell Placement Shares by any method permitted by law deemed to be an “at the market offering” as defined in Rule 415 of the Securities Act, including without limitation sales made directly on the Exchange, on any other existing trading market for the Common Stock or to or through a market maker. Subject to the terms of the Placement Notice, the Agent may also sell Placement Shares by any other method permitted by law, including but not limited to in negotiated transactions with the Company’s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or the Agent may, upon notice to the other party in writing (including by email correspondence to each of the individuals of the other party set forth on Schedule 3,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Schedule 3), suspend any sale of Placement Shares; provided, however, that such suspension shall not affect or impair any party’s obligations with respect to any Placement Shares sold hereunder prior to the receipt of such notice. Each party agrees that no such notice under this Section 4 shall be effective against any other party unless it is made to one of the individuals named on Schedule 3 hereto, as such Schedule may be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of this Agreement, during any period in which the Company is in possession of material non-public information, the Company and the Agent agree that (i) no sale of Placement Shares will take place, (ii) the Company shall not request the sale of any Placement Shares, and (iii) the Agent shall not be obligated to sell or offer to sell any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Sale and Delivery to the Agent; Settlement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Sale of Placement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to sell such Placement Shares up to the amount specified in such Placement Notice,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to sell such Placement Shares as required under this Agreement and (iii) the Agent shall be under no obligation to purchase Placement Shares on a principal basis pursuant to this Agreement, except as otherwise agreed by the Agent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Unless otherwise specified in the applicable Placement Notice, settlement for sales of Placement Shares will occur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(or such earlier day as is industry practice for regular-way trading) following the date on which such sales are made (each,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The amount of proceeds to be delivered to the Company on a Settlement Date against receipt of the Placement Shares sold (the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will be equal to the aggregate sales price received by the Agent, after deduction for (i) the Agent’s commission, discount or other compensation for such sales payable by the Company pursuant to Section 2 hereof, and (ii) any transaction fees imposed by any governmental or self-regulatory organization in respect of such sales.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Placement Shares</w:t>
      </w:r>
      <w:r>
        <w:rPr>
          <w:rFonts w:ascii="Times New Roman;Times;Serif" w:hAnsi="Times New Roman;Times;Serif"/>
          <w:b w:val="false"/>
          <w:i w:val="false"/>
          <w:caps w:val="false"/>
          <w:smallCaps w:val="false"/>
          <w:sz w:val="20"/>
        </w:rPr>
        <w:t>. On each Settlement Date, against payment of the Net Proceeds, the Company will, or will cause its transfer agent to, electronically transfer the Placement Shares being sold by crediting the Agent’s or its designee’s account (provided the Agent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Section 10(a) hereto, it will (i) hold the Agent, its directors, officers, members, partners, employees and agents of the Agent, each broker dealer affiliate of the Agent, and each person, if any, who controls the Agent within the meaning of Section 15 of the Securities Act or Section 20 of the Exchange Act or is controlled by or under common control with the Agent, harmless against any loss, claim, damage, or expense (including reasonable legal fees and expenses), as incurred, arising out of or in connection with such default by the Company or its transfer agent (if applicable) and (ii) pay to the Agent any commission, discount, or other compensation to which it would otherwise have been entitled absent such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Offering Size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(B) the amount available for offer and sale under the Registration Statement and (C)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Placement Shares pursuant to this Agreement at a price lower than the minimum price authorized from time to time by the Company’s board of directors, duly authorized committee thereof or a duly authorized executive committee, and notified to the Agent in writing. Further, under no circumstances shall the Company cause or permit the aggregate offering amount of Placement Shares sold pursuant to this Agreement to exceed the Maximum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disclosed in the Registration Statement or Prospectus (including the Incorporated Documents), the Company represents and warrants to, and agrees with the Agent that as of the date of this Agreement and as of each Applicable Time (as defined below), unless such representation, warranty or agreement specifies a different date or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and Prospectus</w:t>
      </w:r>
      <w:r>
        <w:rPr>
          <w:rFonts w:ascii="Times New Roman;Times;Serif" w:hAnsi="Times New Roman;Times;Serif"/>
          <w:b w:val="false"/>
          <w:i w:val="false"/>
          <w:caps w:val="false"/>
          <w:smallCaps w:val="false"/>
          <w:sz w:val="20"/>
        </w:rPr>
        <w:t>. The Company and the transactions contemplated by this Agreement meet the requirements for and comply with the conditions for the use of Form S-3 under the Securities Act. The Registration Statement has been or will be filed with the Commission and declared effective under the Securities Act or will be considered automatically effective as an “automatic shelf registration statement”. The Prospectus Supplement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or 405 under the Securities Act, as applicable, and comply in all material respects with said applicable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Agent has consented. The Company has not, in the 12 months preceding the date hereof, received notice from the Exchange to the effect that the Company is not in compliance with the listing or maintenance requirements. The Company has no reason to believe that it will not in the foreseeable future continue to be in compliance with all such listing and maintenance requirements. Notwithstanding anything to the contrary contained in this Agreement, the representations and warranties set forth in the first three (3) sentences of this Section 6(a) shall not be made by the Company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or supplement thereto, on the date thereof and at each Applicable Time (defined below), did not and will not include an untrue statement of a material fact or omit to state a material fact necessary to make the statements therein, in light of the circumstances under which they were made, not misleading. The Incorporated Documents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Agent specifically for use in the preparation thereof. Notwithstanding anything to the contrary contained in this Agreement, the representations and warranties set forth in this Section 6(b) shall not be made by the Company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Conformity with Securities Act and Exchange Act</w:t>
      </w:r>
      <w:r>
        <w:rPr>
          <w:rFonts w:ascii="Times New Roman;Times;Serif" w:hAnsi="Times New Roman;Times;Serif"/>
          <w:b w:val="false"/>
          <w:i w:val="false"/>
          <w:caps w:val="false"/>
          <w:smallCaps w:val="false"/>
          <w:sz w:val="20"/>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and will conform in all material respects with the requirements of the Securities Act and the Exchange Act,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The financial statements of the Company included or incorporated by reference in the Registration Statement, the Prospectus and the Issuer Free Writing Prospectuses, if any, together with the related notes and schedules, present fairly, in all material respects, the financial position of the Company as of the dates indicated and the results of operations, cash flows and changes in stockholders’ equity of the Company for the periods specified and have been prepared in compliance with the requirements of the Securities Act and Exchange Act and in conformity with generally accepted accounting principles in the United States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will not be material, either individually or in the aggregate) during the periods involved; the other financial and statistical data with respect to the Company contained or incorporated by reference in the Registration Statement, the Prospectus and the Issuer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does not have any material liabilities or obligations, direct or contingent (including any off-balance sheet obligations), not described in the Registration Statement(excluding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Conformity with EDGAR Filing</w:t>
      </w:r>
      <w:r>
        <w:rPr>
          <w:rFonts w:ascii="Times New Roman;Times;Serif" w:hAnsi="Times New Roman;Times;Serif"/>
          <w:b w:val="false"/>
          <w:i w:val="false"/>
          <w:caps w:val="false"/>
          <w:smallCaps w:val="false"/>
          <w:sz w:val="20"/>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Company is duly organized, validly existing as a corporation and in good standing under the laws of its jurisdiction of organization. The Company is, and will be, duly licensed or qualified as a foreign corporation for transaction of business and in good standing under the laws of each other jurisdiction in which its ownership or lease of property or the conduct of its business requires such license or qualification, and has all corporate power and authority necessary to own or hold its properties and to conduct its business as described in the Registration Statement and the Prospectus, except where the failure to be so qualified or in good standing or have such power or authority would not, individually or in the aggregate, have a material adverse effect on or affecting the assets, business, operations, earnings, properties, condition (financial or otherwise), prospects, stockholders’ equity or results of operations of the Company or prevent or materially interfere with consummation of the transactions contemplated hereby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The Company does not own or control, directly or indirectly, any corporation, association or other entity other than the subsidiaries listed in Exhibit 21.1 to the Company’s Annual Report on Form 10-K for the most recently ended fiscal year The Company owns directly or indirectly, all of the equity interests of its subsidiaries free and clear of any lien, charge, security interest, encumbrance, right of first refusal or other restriction, and all the equity interests of its subsidiaries are validly issued and are fully paid, non-assessable and free of preemptive and similar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Violation or Default</w:t>
      </w:r>
      <w:r>
        <w:rPr>
          <w:rFonts w:ascii="Times New Roman;Times;Serif" w:hAnsi="Times New Roman;Times;Serif"/>
          <w:b w:val="false"/>
          <w:i w:val="false"/>
          <w:caps w:val="false"/>
          <w:smallCaps w:val="false"/>
          <w:sz w:val="20"/>
        </w:rPr>
        <w:t>. The Company is not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have a Material Adverse Effect. To the Company’s knowledge, no other party under any material contract or other agreement to which it is a party is in default in any respect thereunder where such default would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Subsequent to the respective dates as of which information is given in the Registration Statement, the Prospectus and the Issuer Free Writing Prospectuses, if any, (including any document deemed incorporated by reference therein), there has not been (i) any Material Adverse Effect, (ii) any transaction which is material to the Company, (iii) any obligation or liability, direct or contingent (including any off-balance sheet obligations), incurred by the Company which is material to the Company, (iv) any material change in the capital stock or outstanding long-term indebtedness (other than (A) the grant of additional awards under equity incentive plans, (B) changes in the number of outstanding Common Stock due to the issuance of shares upon exercise or conversion of securities exercisable for or convertible into Common Stock outstanding on the date hereof, (C) any repurchase of capital stock of the Company, (D) as a result of the sale of Placement Shares, or (E) other than as publicly reported or announced), or (v) any dividend or distribution of any kind declared, paid or made on the capital stock of the Company other than in each case above in the ordinary course of business or as otherwise disclosed in the Registration Statement or Prospectus (including any document deemed incorporated by reference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and restricted stock units under the Company’s existing stock option plans, or changes in the number of outstanding shares of Common Stock of the Company due to the issuance of shares upon the exercise or conversion of securities exercisable for, or convertible into, Common Stock outstanding on the date hereof) and such authorized capital stock conforms to the description thereof set forth in the Registration Statement and the Prospectus. The description of the securities of the Company in the Registration Statement and the Prospectus is complete and accurate in all material respects.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(i) to the extent that enforceability may be limited by bankruptcy, insolvency, reorganization, moratorium or similar laws affecting creditors’ rights generally and by general equitable principles and (ii) the indemnification and contribution provisions of Section 10 hereof may be limited by federal or state securities laws and public policy considered in respect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Authorization of Placement Shares</w:t>
      </w:r>
      <w:r>
        <w:rPr>
          <w:rFonts w:ascii="Times New Roman;Times;Serif" w:hAnsi="Times New Roman;Times;Serif"/>
          <w:b w:val="false"/>
          <w:i w:val="false"/>
          <w:caps w:val="false"/>
          <w:smallCaps w:val="false"/>
          <w:sz w:val="20"/>
        </w:rPr>
        <w:t>. The Placement Shares, when issued and delivered pursuant to the terms approved by the board of directors of the Company or a duly authorized committee thereof,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No Consents Required</w:t>
      </w:r>
      <w:r>
        <w:rPr>
          <w:rFonts w:ascii="Times New Roman;Times;Serif" w:hAnsi="Times New Roman;Times;Serif"/>
          <w:b w:val="false"/>
          <w:i w:val="false"/>
          <w:caps w:val="false"/>
          <w:smallCaps w:val="false"/>
          <w:sz w:val="20"/>
        </w:rPr>
        <w:t>. No consent, approval, authorization, order, registration or qualification of or with any court or arbitrator or governmental or regulatory authority is required for the execution, delivery and performance by the Company this Agreement, the issuance and sale by the Company of the Placement Shares, except for such consents, approvals, authorizations, orders and registrations or qualifications as may be required under applicable state securities laws or by the by-laws and rules of the Financial Industry Regulatory Authority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or the Exchange in connection with the sale of the Placement Shares by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No Preferential Rights</w:t>
      </w:r>
      <w:r>
        <w:rPr>
          <w:rFonts w:ascii="Times New Roman;Times;Serif" w:hAnsi="Times New Roman;Times;Serif"/>
          <w:b w:val="false"/>
          <w:i w:val="false"/>
          <w:caps w:val="false"/>
          <w:smallCaps w:val="false"/>
          <w:sz w:val="20"/>
        </w:rPr>
        <w:t>. (i) No person, as such term is defined in Rule 1-02 of Regulation S-X promulgated under the Securities Act (each, a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has the right, contractual or otherwise, to cause the Company to issue or sell to such Person any Common Stock or shares of any other capital stock or other securities of the Company, (ii) no Person has any preemptive rights, resale rights, rights of first refusal,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Common Stock,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Independent Public Accountant</w:t>
      </w:r>
      <w:r>
        <w:rPr>
          <w:rFonts w:ascii="Times New Roman;Times;Serif" w:hAnsi="Times New Roman;Times;Serif"/>
          <w:b w:val="false"/>
          <w:i w:val="false"/>
          <w:caps w:val="false"/>
          <w:smallCaps w:val="false"/>
          <w:sz w:val="20"/>
        </w:rPr>
        <w:t>. Stephano Slack LLC (the “</w:t>
      </w:r>
      <w:r>
        <w:rPr>
          <w:rFonts w:ascii="Times New Roman;Times;Serif" w:hAnsi="Times New Roman;Times;Serif"/>
          <w:b w:val="false"/>
          <w:i w:val="false"/>
          <w:caps w:val="false"/>
          <w:smallCaps w:val="false"/>
          <w:sz w:val="20"/>
          <w:u w:val="single"/>
        </w:rPr>
        <w:t>Current Accountant</w:t>
      </w:r>
      <w:r>
        <w:rPr>
          <w:rFonts w:ascii="Times New Roman;Times;Serif" w:hAnsi="Times New Roman;Times;Serif"/>
          <w:b w:val="false"/>
          <w:i w:val="false"/>
          <w:caps w:val="false"/>
          <w:smallCaps w:val="false"/>
          <w:sz w:val="20"/>
        </w:rPr>
        <w:t>”), whose report on the audited financial statements of Z Squared OpCo Inc. is included or incorporated by reference in the Registration Statement and the Prospectus, is, and during the periods covered by its report has been, an independent registered public accounting firm with respect to the Company within the meaning of the Securities Act and the rules and regulations of the Public Company Accounting Oversight Board (United States) (the “PCAOB”). Astra Audit &amp; Advisory LLC (the “</w:t>
      </w:r>
      <w:r>
        <w:rPr>
          <w:rFonts w:ascii="Times New Roman;Times;Serif" w:hAnsi="Times New Roman;Times;Serif"/>
          <w:b w:val="false"/>
          <w:i w:val="false"/>
          <w:caps w:val="false"/>
          <w:smallCaps w:val="false"/>
          <w:sz w:val="20"/>
          <w:u w:val="single"/>
        </w:rPr>
        <w:t>Former Accountant</w:t>
      </w:r>
      <w:r>
        <w:rPr>
          <w:rFonts w:ascii="Times New Roman;Times;Serif" w:hAnsi="Times New Roman;Times;Serif"/>
          <w:b w:val="false"/>
          <w:i w:val="false"/>
          <w:caps w:val="false"/>
          <w:smallCaps w:val="false"/>
          <w:sz w:val="20"/>
        </w:rPr>
        <w:t>”) whose report on the audited financial statements of the Company is filed with the Commission as part of the Company’s most recent Annual Report on Form 10-K filed with the Commission and is incorporated by reference in the Registration Statement and Prospectus, during the periods covered by their report and up until April 24, 2026, were an independent registered public accounting firm with respect to the Company within the meaning of the Securities Act and the rules and regulations of the PCAOB. To the Company’s knowledge, the Current Accountant is not, and the Former Accountant during its time as the Company’s independent registered public accounting firm was not, in violation of the auditor independence requirements of the Sarbanes-Oxley Act of 2002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with respect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Enforceability of Agreements</w:t>
      </w:r>
      <w:r>
        <w:rPr>
          <w:rFonts w:ascii="Times New Roman;Times;Serif" w:hAnsi="Times New Roman;Times;Serif"/>
          <w:b w:val="false"/>
          <w:i w:val="false"/>
          <w:caps w:val="false"/>
          <w:smallCaps w:val="false"/>
          <w:sz w:val="20"/>
        </w:rPr>
        <w:t>. All agreements between the Company and third parties expressly referenced in the Prospectus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be federal or state securities laws or public policy considerations in respect thereof, and except for any unenforceability that, individually or in the aggregate, would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There are no legal, governmental or regulatory actions, suits or proceedings pending, nor, to the Company’s knowledge, any legal, governmental or regulatory investigations, to which the Company is a party or to which any property of the Company is the subject that, individually or in the aggregate, if determined adversely to the Company would have a Material Adverse Effect or materially and adversely affect the ability of the Company to perform its obligations under this Agreement; to the Company’s knowledge, no such actions, suits or proceedings are threatened or contemplated by any governmental or regulatory authority or threatened by others; and (i) there are no current or pending legal, governmental or regulatory investigations, actions, suits or proceedings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Licenses and Permits</w:t>
      </w:r>
      <w:r>
        <w:rPr>
          <w:rFonts w:ascii="Times New Roman;Times;Serif" w:hAnsi="Times New Roman;Times;Serif"/>
          <w:b w:val="false"/>
          <w:i w:val="false"/>
          <w:caps w:val="false"/>
          <w:smallCaps w:val="false"/>
          <w:sz w:val="20"/>
        </w:rPr>
        <w:t>. The Company possesses or has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(the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except where the failure to possess, obtain or make the same would not, individually or in the aggregate, reasonably be expected to have a Material Adverse Effect. The Company has not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No Material Defaults</w:t>
      </w:r>
      <w:r>
        <w:rPr>
          <w:rFonts w:ascii="Times New Roman;Times;Serif" w:hAnsi="Times New Roman;Times;Serif"/>
          <w:b w:val="false"/>
          <w:i w:val="false"/>
          <w:caps w:val="false"/>
          <w:smallCaps w:val="false"/>
          <w:sz w:val="20"/>
        </w:rPr>
        <w:t>. The Company has not defaulted on any installment on indebtedness for borrowed money or on any rental on one or more long-term leases, which defaults, individually or in the aggregate,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could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S-3 Eligibility; Well-Known Seasoned Issuer</w:t>
      </w:r>
      <w:r>
        <w:rPr>
          <w:rFonts w:ascii="Times New Roman;Times;Serif" w:hAnsi="Times New Roman;Times;Serif"/>
          <w:b w:val="false"/>
          <w:i w:val="false"/>
          <w:caps w:val="false"/>
          <w:smallCaps w:val="false"/>
          <w:sz w:val="20"/>
        </w:rPr>
        <w:t>. (i) At the time of filing the Registration Statement, (ii) at the time of the most recent amendment thereto for the purposes of complying with Section 10(a)(3) of the Securities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Securities Act) made any offer relating to the Placement Shares in reliance on the exemption of Rule 163 under the Securities Act, the Company was and is a “well-known seasoned issuer” (as defined in Rule 405 under the Securities Act). After the date of this Agreement, the Company shall promptly advise the Agent in writing of the Company losing its status as a “well-known seasoned issuer” (as defined in Rule 405) as of the time the Company files with the Commission an annual report on Form 10-K.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Certain Market Activities</w:t>
      </w:r>
      <w:r>
        <w:rPr>
          <w:rFonts w:ascii="Times New Roman;Times;Serif" w:hAnsi="Times New Roman;Times;Serif"/>
          <w:b w:val="false"/>
          <w:i w:val="false"/>
          <w:caps w:val="false"/>
          <w:smallCaps w:val="false"/>
          <w:sz w:val="20"/>
        </w:rPr>
        <w:t>. Neither the Company nor, to the Company’s knowledge, any of its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Broker/Dealer Relationships</w:t>
      </w:r>
      <w:r>
        <w:rPr>
          <w:rFonts w:ascii="Times New Roman;Times;Serif" w:hAnsi="Times New Roman;Times;Serif"/>
          <w:b w:val="false"/>
          <w:i w:val="false"/>
          <w:caps w:val="false"/>
          <w:smallCaps w:val="false"/>
          <w:sz w:val="20"/>
        </w:rPr>
        <w:t>. Neither the Company nor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the Agent or legal counsel for the Agent for any legal, tax or accounting advice in connection with the offering and sale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has filed all federal, state, local and foreign tax returns which have been required to be filed and paid all taxes shown thereon through the date hereof, to the extent that such taxes have become due and are not being contested in good faith. Except as otherwise disclosed in or contemplated by the Registration Statement or the Prospectus, no tax deficiency has been determined adversely to the Company which has had, or would reasonably be expected to have, individually or in the aggregate, a Material Adverse Effect. The Company has no knowledge of any federal, state or other governmental tax deficiency, penalty or assessment which has been or might be asserted or threatened against it which reasonably would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Title to Real and Personal Property</w:t>
      </w:r>
      <w:r>
        <w:rPr>
          <w:rFonts w:ascii="Times New Roman;Times;Serif" w:hAnsi="Times New Roman;Times;Serif"/>
          <w:b w:val="false"/>
          <w:i w:val="false"/>
          <w:caps w:val="false"/>
          <w:smallCaps w:val="false"/>
          <w:sz w:val="20"/>
        </w:rPr>
        <w:t>. The Company has good and valid title in fee simple to all items of real property and good and valid title to all personal property described in the Registration Statement or Prospectus as being owned by it that are material to the business of the Company, in each case free and clear of all liens, encumbrances and claims, except those that (i) do not materially interfere with the use made and proposed to be made of such property by the Company or (ii) would not reasonably expected, individually or in the aggregate, to have a Material Adverse Effect. Any real property described in the Registration Statement or Prospectus as being leased by the Company is held by it under valid, existing and enforceable leases, except those that (A) do not materially interfere with the use made or proposed to be made of such property by the Company or (B) would not be reasonably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owns or possesses adequate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necessary for the conduct of its business as conducted as of the date hereof, except to the extent that the failure to own or possess adequate rights to use such Intellectual Property would not, individually or in the aggregate, reasonably be expected to have a Material Adverse Effect; the Company has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challenging the Company’s rights in or to or the validity of the scope of any of the Company’s patents, patent applications or proprietary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(i) is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has received and is in compliance with all permits, licenses or other approvals required of it under applicable Environmental Laws to conduct its businesses as described in the Registration Statement and the Prospectus; and (iii) has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The Company maintains systems of internal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ensure that material information relating to the Company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controls and procedures as of a date within 90 days prior to the filing date of the Form 10-K for the fiscal year most recently ended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Form 10-K for the fiscal year most recently ended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 To the knowledge of the Company, the Company’s “internal controls over financial reporting” and “disclosure controls and procedures” are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Sarbanes-Oxley</w:t>
      </w:r>
      <w:r>
        <w:rPr>
          <w:rFonts w:ascii="Times New Roman;Times;Serif" w:hAnsi="Times New Roman;Times;Serif"/>
          <w:b w:val="false"/>
          <w:i w:val="false"/>
          <w:caps w:val="false"/>
          <w:smallCaps w:val="false"/>
          <w:sz w:val="20"/>
        </w:rPr>
        <w:t>. The Company is not aware of any failure on the part of the Company or any of the Company’s directors or officers, in their capacities as such, to comply with any applicable provisions of the Sarbanes-Oxley Act and the applicable rules and regulations promulgated thereunder in all material respects.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during the past 12 months. For purposes of the preceding sentence, “principal executive officer” and “principal financial officer” shall have the meanings given to such terms in the Sarbanes-Oxley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The Company has not incurred any liability for any finder’s fees, brokerage commissions or similar payments in connection with the transactions herein contemplated, except as may otherwise exist with respect to Agent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Labor Disputes</w:t>
      </w:r>
      <w:r>
        <w:rPr>
          <w:rFonts w:ascii="Times New Roman;Times;Serif" w:hAnsi="Times New Roman;Times;Serif"/>
          <w:b w:val="false"/>
          <w:i w:val="false"/>
          <w:caps w:val="false"/>
          <w:smallCaps w:val="false"/>
          <w:sz w:val="20"/>
        </w:rPr>
        <w:t>. No labor disturbance by or dispute with employees of the Company exists or, to the knowledge of the Company, is threatened which would be reasonably likely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is not or after giving effect to the offering and sale of the Placement Shares, will not be an “investment company” or an entity “controlled” by an “investment company,” as such terms are defined in the Investment Company Act of 1940, as amended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Operations</w:t>
      </w:r>
      <w:r>
        <w:rPr>
          <w:rFonts w:ascii="Times New Roman;Times;Serif" w:hAnsi="Times New Roman;Times;Serif"/>
          <w:b w:val="false"/>
          <w:i w:val="false"/>
          <w:caps w:val="false"/>
          <w:smallCaps w:val="false"/>
          <w:sz w:val="20"/>
        </w:rPr>
        <w:t>. The operations of the Company are and have been conducted at all times in compliance with applicable financial record keeping and reporting requirements of the Currency and Foreign Transactions Reporting Act of 1970, as amended, the money laundering statutes of all jurisdictions to which the Company is subject, the rules and regulations thereunder and any related or similar rules, regulations or guidelines, issued, administered or enforced by any governmental agency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except as would not have a Material Adverse Effect; and no action, suit or proceeding by or before any court or governmental agency, authority or body or any arbitrator involving the Company with respect to the Money Laundering Laws is pending or, to the knowledge of the Company,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Off-Balance Sheet Arrangements</w:t>
      </w:r>
      <w:r>
        <w:rPr>
          <w:rFonts w:ascii="Times New Roman;Times;Serif" w:hAnsi="Times New Roman;Times;Serif"/>
          <w:b w:val="false"/>
          <w:i w:val="false"/>
          <w:caps w:val="false"/>
          <w:smallCaps w:val="false"/>
          <w:sz w:val="20"/>
        </w:rPr>
        <w:t>. There are no transactions, arrangements and other relationships between and/or among the Company, and/or, to the knowledge of the Company, any of its affiliates and any unconsolidated entity, including, but not limited to, any structural finance, special purpose or limited purpose entity (each, an “</w:t>
      </w:r>
      <w:r>
        <w:rPr>
          <w:rFonts w:ascii="Times New Roman;Times;Serif" w:hAnsi="Times New Roman;Times;Serif"/>
          <w:b w:val="false"/>
          <w:i w:val="false"/>
          <w:caps w:val="false"/>
          <w:smallCaps w:val="false"/>
          <w:sz w:val="20"/>
          <w:u w:val="single"/>
        </w:rPr>
        <w:t>Off Balance Sheet Transaction</w:t>
      </w:r>
      <w:r>
        <w:rPr>
          <w:rFonts w:ascii="Times New Roman;Times;Serif" w:hAnsi="Times New Roman;Times;Serif"/>
          <w:b w:val="false"/>
          <w:i w:val="false"/>
          <w:caps w:val="false"/>
          <w:smallCaps w:val="false"/>
          <w:sz w:val="20"/>
        </w:rPr>
        <w:t>”) that could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Underwriter Agreements</w:t>
      </w:r>
      <w:r>
        <w:rPr>
          <w:rFonts w:ascii="Times New Roman;Times;Serif" w:hAnsi="Times New Roman;Times;Serif"/>
          <w:b w:val="false"/>
          <w:i w:val="false"/>
          <w:caps w:val="false"/>
          <w:smallCaps w:val="false"/>
          <w:sz w:val="20"/>
        </w:rPr>
        <w:t>. Other than with respect to this Agreement, the Company is not a party to any agreement with an agent or underwriter for any other “at the market” or continuous equity transaction, except for that certain Committed Equity Forward Purchase Agreement, dated as of May 29, 2026, between the Company and Translucent Matter Inc. (as amended, restated, supplemented or otherwise modified from time to time), pursuant to which the counterparty acts as a principal investor and not as an agent or underwriter for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To the knowledge of the Company, each material employee benefit plan, within the meaning of Section 3(3)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that is maintained, administered or contributed to by the Company or any of its affiliates for employees or former employees of the Company has been maintained in material compliance with its terms and the requirements of any applicable statutes, orders, rules and regulations, including but not limited to ERISA and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Forward 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(a “</w:t>
      </w:r>
      <w:r>
        <w:rPr>
          <w:rFonts w:ascii="Times New Roman;Times;Serif" w:hAnsi="Times New Roman;Times;Serif"/>
          <w:b w:val="false"/>
          <w:i w:val="false"/>
          <w:caps w:val="false"/>
          <w:smallCaps w:val="false"/>
          <w:sz w:val="20"/>
          <w:u w:val="single"/>
        </w:rPr>
        <w:t>Forward Looking Statement</w:t>
      </w:r>
      <w:r>
        <w:rPr>
          <w:rFonts w:ascii="Times New Roman;Times;Serif" w:hAnsi="Times New Roman;Times;Serif"/>
          <w:b w:val="false"/>
          <w:i w:val="false"/>
          <w:caps w:val="false"/>
          <w:smallCaps w:val="false"/>
          <w:sz w:val="20"/>
        </w:rPr>
        <w:t>”) contained in the Registration Statement and the Prospectus has been made or reaffirmed without a reasonable basis or has been disclosed other than in good faith. The Forward Looking Statements incorporated by reference in the Registration Statement and the Prospectus from the Company’s Annual Report on Form 10-K for the fiscal year most recently ended (i) are within the coverage of the safe harbor for forward looking statements set forth in Section 27A of the Securities Act, Rule 175(b) under the Securities Act or Rule 3b-6 under the Exchange Act, as applicable, (ii) were made by the Company with a reasonable basis and in good faith and reflect the Company’s good faith commercially reasonable best estimate of the matters described therein, and (iii) have been prepared in accordance with Item 10 of Regulation S-K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Agent Purchases</w:t>
      </w:r>
      <w:r>
        <w:rPr>
          <w:rFonts w:ascii="Times New Roman;Times;Serif" w:hAnsi="Times New Roman;Times;Serif"/>
          <w:b w:val="false"/>
          <w:i w:val="false"/>
          <w:caps w:val="false"/>
          <w:smallCaps w:val="false"/>
          <w:sz w:val="20"/>
        </w:rPr>
        <w:t>. The Company acknowledges and agrees that Agent has informed the Company that the Agent may, to the extent permitted under the Securities Act and the Exchange Act, purchase and sell Common Stock for its own account while this Agreement is in effect, provided, that (i) no such purchase or sales shall take place while a Placement Notice is in effect (except to the extent each Agent may engage in sales of Placement Shares purchased or deemed purchased from the Company as a “riskless principal” or in a similar capacity) and (ii) the Company shall not be deemed to have authorized or consented to any such purchases or sales by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carries, or is covered by, insurance in such amounts and covering such risks as the Company reasonably believes is adequate for the conduct of its business and as is customary for companies engaged in similar businesses in similar industries.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No Improper Practices</w:t>
      </w:r>
      <w:r>
        <w:rPr>
          <w:rFonts w:ascii="Times New Roman;Times;Serif" w:hAnsi="Times New Roman;Times;Serif"/>
          <w:b w:val="false"/>
          <w:i w:val="false"/>
          <w:caps w:val="false"/>
          <w:smallCaps w:val="false"/>
          <w:sz w:val="20"/>
        </w:rPr>
        <w:t>. (i) Neither the Company, nor to the Company’s knowledge, any of its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affiliate of the Company, on the one hand, and the directors, officers and stockholders of the Company, that is required by the Securities Act to be described in the Registration Statement and the Prospectus that is not so described; (iii) no relationship, direct or indirect, exists between or among the Company, or any affiliate of the Company, on the one hand, and the directors, officers, stockholders or directors of the Company that is required by the rules of FINRA to be described in the Registration Statement and the Prospectus that is not so described; (iv) there are no material outstanding loans or advances or material guarantees of indebtedness by the Company to or for the benefit of any of its officers or directors or any of the members of the families of any of them; (v) the Company has not offered, or caused any placement agent to offer, Common Stock to any person with the intent to influence unlawfully (A) a customer or supplier of the Company to alter the customer’s or supplier’s level or type of business with the Company or (B) a trade journalist or publication to write or publish favorable information about the Company or any of its products or services, and, (vi) neither the Company nor, to the Company’s knowledge, any employee or agent of the Company has made any payment of funds of the Company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Status Under the Securities Act</w:t>
      </w:r>
      <w:r>
        <w:rPr>
          <w:rFonts w:ascii="Times New Roman;Times;Serif" w:hAnsi="Times New Roman;Times;Serif"/>
          <w:b w:val="false"/>
          <w:i w:val="false"/>
          <w:caps w:val="false"/>
          <w:smallCaps w:val="false"/>
          <w:sz w:val="20"/>
        </w:rPr>
        <w:t>. The Company was not and is not an ineligible issuer as defined in Rule 405 under the Securities Act at the times specified in Rules 164 and 433 under the Securities Act in connection with the offering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val="false"/>
          <w:caps w:val="false"/>
          <w:smallCaps w:val="false"/>
          <w:sz w:val="20"/>
          <w:u w:val="single"/>
        </w:rPr>
        <w:t>No Misstatement or Omission in an Issuer Free Writing Prospectus</w:t>
      </w:r>
      <w:r>
        <w:rPr>
          <w:rFonts w:ascii="Times New Roman;Times;Serif" w:hAnsi="Times New Roman;Times;Serif"/>
          <w:b w:val="false"/>
          <w:i w:val="false"/>
          <w:caps w:val="false"/>
          <w:smallCaps w:val="false"/>
          <w:sz w:val="20"/>
        </w:rPr>
        <w:t xml:space="preserve">. Each Issuer Free Writing Prospectus, as of its issue date and as of each Applicable Time (as defined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court or of any federal, state or other regulatory authority or other government body having jurisdiction over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Neither the Company or any director, officer, agent, employee, affiliate or representative of the Company is a government, individual or entity (in this paragraph (uu),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that is, or is owned or controlled by a Person that is, currently subject to any U.S. sanctions administered by the Office of Foreign Assets Control of the U.S. Department of the Treasury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w:t>
      </w:r>
      <w:r>
        <w:rPr>
          <w:rFonts w:ascii="Times New Roman;Times;Serif" w:hAnsi="Times New Roman;Times;Serif"/>
          <w:b w:val="false"/>
          <w:i w:val="false"/>
          <w:caps w:val="false"/>
          <w:smallCaps w:val="false"/>
          <w:sz w:val="20"/>
          <w:u w:val="single"/>
        </w:rPr>
        <w:t>UNSC</w:t>
      </w:r>
      <w:r>
        <w:rPr>
          <w:rFonts w:ascii="Times New Roman;Times;Serif" w:hAnsi="Times New Roman;Times;Serif"/>
          <w:b w:val="false"/>
          <w:i w:val="false"/>
          <w:caps w:val="false"/>
          <w:smallCaps w:val="false"/>
          <w:sz w:val="20"/>
        </w:rPr>
        <w:t>”), the European Union (“</w:t>
      </w:r>
      <w:r>
        <w:rPr>
          <w:rFonts w:ascii="Times New Roman;Times;Serif" w:hAnsi="Times New Roman;Times;Serif"/>
          <w:b w:val="false"/>
          <w:i w:val="false"/>
          <w:caps w:val="false"/>
          <w:smallCaps w:val="false"/>
          <w:sz w:val="20"/>
          <w:u w:val="single"/>
        </w:rPr>
        <w:t>EU</w:t>
      </w:r>
      <w:r>
        <w:rPr>
          <w:rFonts w:ascii="Times New Roman;Times;Serif" w:hAnsi="Times New Roman;Times;Serif"/>
          <w:b w:val="false"/>
          <w:i w:val="false"/>
          <w:caps w:val="false"/>
          <w:smallCaps w:val="false"/>
          <w:sz w:val="20"/>
        </w:rPr>
        <w:t>”), Her Majesty’s Treasury (“</w:t>
      </w:r>
      <w:r>
        <w:rPr>
          <w:rFonts w:ascii="Times New Roman;Times;Serif" w:hAnsi="Times New Roman;Times;Serif"/>
          <w:b w:val="false"/>
          <w:i w:val="false"/>
          <w:caps w:val="false"/>
          <w:smallCaps w:val="false"/>
          <w:sz w:val="20"/>
          <w:u w:val="single"/>
        </w:rPr>
        <w:t>HMT</w:t>
      </w:r>
      <w:r>
        <w:rPr>
          <w:rFonts w:ascii="Times New Roman;Times;Serif" w:hAnsi="Times New Roman;Times;Serif"/>
          <w:b w:val="false"/>
          <w:i w:val="false"/>
          <w:caps w:val="false"/>
          <w:smallCaps w:val="false"/>
          <w:sz w:val="20"/>
        </w:rPr>
        <w:t>”),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 located, organized or resident in a country or territory that is the subject of Sanctions; provided however, that for the purposes of this paragraph (uu), no person shall be an affiliate of the Company solely by reason of owning less than a majority of any class of voting securities of the Company.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 The Company represents and covenants that, except as detailed in the Prospectus, for the past 5 years, the Company has not knowingly engaged in, is not now knowingly engaged in, and will not engage in, any dealings or transactions with any Person, or in any country or territory, that at the time of the dealing or transaction is or was the subject of Sanctions.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(vv) </w:t>
      </w:r>
      <w:r>
        <w:rPr>
          <w:rFonts w:ascii="Times New Roman;Times;Serif" w:hAnsi="Times New Roman;Times;Serif"/>
          <w:b w:val="false"/>
          <w:i w:val="false"/>
          <w:caps w:val="false"/>
          <w:smallCaps w:val="false"/>
          <w:sz w:val="20"/>
          <w:u w:val="single"/>
        </w:rPr>
        <w:t>Stock Transfer Taxes</w:t>
      </w:r>
      <w:r>
        <w:rPr>
          <w:rFonts w:ascii="Times New Roman;Times;Serif" w:hAnsi="Times New Roman;Times;Serif"/>
          <w:b w:val="false"/>
          <w:i w:val="false"/>
          <w:caps w:val="false"/>
          <w:smallCaps w:val="false"/>
          <w:sz w:val="20"/>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(ww) </w:t>
      </w:r>
      <w:r>
        <w:rPr>
          <w:rFonts w:ascii="Times New Roman;Times;Serif" w:hAnsi="Times New Roman;Times;Serif"/>
          <w:b w:val="false"/>
          <w:i w:val="false"/>
          <w:caps w:val="false"/>
          <w:smallCaps w:val="false"/>
          <w:sz w:val="20"/>
          <w:u w:val="single"/>
        </w:rPr>
        <w:t>FINRA Exemption</w:t>
      </w:r>
      <w:r>
        <w:rPr>
          <w:rFonts w:ascii="Times New Roman;Times;Serif" w:hAnsi="Times New Roman;Times;Serif"/>
          <w:b w:val="false"/>
          <w:i w:val="false"/>
          <w:caps w:val="false"/>
          <w:smallCaps w:val="false"/>
          <w:sz w:val="20"/>
        </w:rPr>
        <w:t>. To enable the Agent to rely on Rule 5110(b)(7)(C)(i) of FINRA, the Company represents that the Company (i) has a non-affiliate, public common equity float of at least $150 million or a non-affiliate, public common equity float of at least $100 million and annual trading volume of at least three million shares and (ii) has been subject to the Exchange Act reporting requirements for a period of at least 36 months.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Agent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a Prospectus relating to any Placement Shares is required to be delivered by Agent under the Securities Act (including in circumstances where such requirement may be satisfied pursuant to Rule 172 under the Securities Act) (the “</w:t>
      </w:r>
      <w:r>
        <w:rPr>
          <w:rFonts w:ascii="Times New Roman;Times;Serif" w:hAnsi="Times New Roman;Times;Serif"/>
          <w:b w:val="false"/>
          <w:i w:val="false"/>
          <w:caps w:val="false"/>
          <w:smallCaps w:val="false"/>
          <w:sz w:val="20"/>
          <w:u w:val="single"/>
        </w:rPr>
        <w:t>Prospectus Delivery Period</w:t>
      </w:r>
      <w:r>
        <w:rPr>
          <w:rFonts w:ascii="Times New Roman;Times;Serif" w:hAnsi="Times New Roman;Times;Serif"/>
          <w:b w:val="false"/>
          <w:i w:val="false"/>
          <w:caps w:val="false"/>
          <w:smallCaps w:val="false"/>
          <w:sz w:val="20"/>
        </w:rPr>
        <w:t>”) (i) the Company will notify the Agent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such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Agent within a reasonable period of time before the filing and the Agent has not objected thereto (provided, however, that (A) the failure of the Agent to make such objection shall not relieve the Company of any obligation or liability hereunder, or affect the Agent’s right to rely on the representations and warranties made by the Company in this Agreement and (B) the Company has no obligation to provide the Agent any advance copy of such filing or to provide the Agent an opportunity to object to such filing if the filing does not name the Agent or does not relate to the transaction herein provided; and provided, further, that the only remedy Agent shall have with respect to the failure to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Section 7(a), based on the Company’s reasonable opinion or reasonable objections, shall be made exclusively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the Agent, promptly after it receives notice or obtains knowledge thereof, of the issuance or threatened issuance by the Commission of any stop order suspending the effectiveness of the Registration Statement or any notice objecting to, or other order preventing or suspending the use of, the Prospectus,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During the Prospectus Delivery Period,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best efforts to comply with the provisions of and make all requisite filings with the Commission pursuant to said Rule 430A and to notify the Agent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the Prospectus Delivery Period it is necessary to amend or supplement the Registration Statement or Prospectus to comply with the Securities Act, the Company will promptly notify Agent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the filing of any amendment or supplement, if in the judgment of the Company, it is in the best interests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During the Prospectus Delivery Period, the Company will use its commercially reasonable efforts to cause the Placement Shares to be listed on the Exchange and to qualify the Placement Shares for sale under the securities laws of such jurisdictions as Agent reasonably designates and to continue such qualifications in effect so long as required for the distribution of the Placement Shares; provided, however, that the Company shall not be required in connection therewith to qualify as a foreign corporation or dealer in securities or file a general consent to service of process in any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 may from time to time reasonably request and, at Agent’s request, will also furnish copies of the Prospectus to each exchange or market on which sales of the Placement Shares may be made; provided, however, that the Company shall not be required to furnish any document (other than the Prospectus) to the Agent to the extent such document is available on EDGAR.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“Use of Proceeds.”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Without the prior written consent of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date on which any Placement Notice is delivered to Agent hereunder and ending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termination of this Agreement; provided, however, that such restrictions will not be required in connection with the Company’s issuance or sale of (i) Common Stock, restricted stock units, options to purchase Common Stock or Common Stock issuable upon the exercise of options,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the Agent, (iii) Common Stock, preferred stock, or securities convertible into or exercisable or exchangeable for Common Stock or preferred stock, offered and sold in a negotiated transaction or joint venture, to vendors, customers, strategic partners or potential strategic partners, acquisition candidates or other investors conducted in a manner so as not to be integrated with the offering of Common Stock hereby, or as consideration in, or in connection with the financing of, any acquisition, merger, business combination, joint venture, or strategic transaction (including any earnout, deferred, or contingent consideration), and (iv) Common Stock issuable or issued pursuant to that certain Committed Equity Forward Purchase Agreement, dated as of May 29, 2026, between the Company and Translucent Matter Inc. (as amended, restated, supplemented or otherwise modified from time to time, the “FPA”), including any amendment and restatement thereof, and any securities issued in connection therewith; provided however, that such issuance of Common Stock under the FPA shall not occur within three (3) Business Days of an issuance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On the date of this Agreement and within five (5) trading days of each time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files an annual report on Form 10-K under the Exchange Act (including any Form 10-K/A containing amended financial information or a material amendment to the previously filed Form 10-K);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files a quarterly report on Form 10-Q under the Exchange Act;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 the Company shall furnish the Agent (but in the case of clause (iv) above only if the Agent reasonably determines that the information contained in such Form 8-K is material) with a certificate, in the form attached hereto as Exhibit 7(l) (the “</w:t>
      </w:r>
      <w:r>
        <w:rPr>
          <w:rFonts w:ascii="Times New Roman;Times;Serif" w:hAnsi="Times New Roman;Times;Serif"/>
          <w:b w:val="false"/>
          <w:i w:val="false"/>
          <w:caps w:val="false"/>
          <w:smallCaps w:val="false"/>
          <w:sz w:val="20"/>
          <w:u w:val="single"/>
        </w:rPr>
        <w:t>Representation Date Certificate</w:t>
      </w:r>
      <w:r>
        <w:rPr>
          <w:rFonts w:ascii="Times New Roman;Times;Serif" w:hAnsi="Times New Roman;Times;Serif"/>
          <w:b w:val="false"/>
          <w:i w:val="false"/>
          <w:caps w:val="false"/>
          <w:smallCaps w:val="false"/>
          <w:sz w:val="20"/>
        </w:rPr>
        <w:t>”); provided however, if no Placement Notice is pending at such Representation Date, then before the Company delivers a Placement Notice or the Agent sells any Placement Shares, the Company shall provide the Agent with a Representation Date Certificate. The requirement to provide a Representation Date Certificate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provided, however, that such waiver shall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the Agent with a Representation Date Certificate, then before the Company delivers the Placement Notice or the Agent sells any Placement Shares, the Company shall provide the Agent with a Representation Date Certificate, dated the date of the Placement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On the date of this Agreement, the Company shall cause to be furnished to the Agent a written opinion and negative assurance letter of Zarif Law Group P.C. (“</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or other counsel satisfactory to the Agent, in form and substance satisfactory to Agent and its counsel. Thereafter, within five (5) Trading Days of each Representation Date with respect to which the Company is obligated to deliver a Representation Date Certificate for which no waiver is applicable, the Company shall cause to be furnished to the Agent a negative assurance letter of Company Counsel in form and substance satisfactory to Agent and its counsel; provided however, if no placement notice is pending at such Representation Date, then before the Company delivers a Placement Notice or the Agent sells any Placement Shares, the Company shall provide the Agent with such negative assurance letter; provided, further, that in lieu of such negative assurance letter for subsequent periodic filings under the Exchange Act, counsel may furnish the Agent with a letter (a “</w:t>
      </w:r>
      <w:r>
        <w:rPr>
          <w:rFonts w:ascii="Times New Roman;Times;Serif" w:hAnsi="Times New Roman;Times;Serif"/>
          <w:b w:val="false"/>
          <w:i w:val="false"/>
          <w:caps w:val="false"/>
          <w:smallCaps w:val="false"/>
          <w:sz w:val="20"/>
          <w:u w:val="single"/>
        </w:rPr>
        <w:t>Reliance Letter</w:t>
      </w:r>
      <w:r>
        <w:rPr>
          <w:rFonts w:ascii="Times New Roman;Times;Serif" w:hAnsi="Times New Roman;Times;Serif"/>
          <w:b w:val="false"/>
          <w:i w:val="false"/>
          <w:caps w:val="false"/>
          <w:smallCaps w:val="false"/>
          <w:sz w:val="20"/>
        </w:rPr>
        <w:t>”) to the effect that the Agent may rely on a prior negative assurance letter delivered under this Section 7(m) to the same extent as if it were dated the date of such letter (except that statements in such prior negative assurance letter shall be deemed to relate to the Registration Statement and the Prospectus as amended or supplemented as of the date of the Reliance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(1) On the date of this Agreement and (2) within five (5) Trading Days of each Representation Date, with respect to which the Company is obligated to deliver a certificate in the form attached hereto as Exhibit 7(l) for which no waiver is applicable, the Company shall cause its independent accountants to furnish the Agent letters (the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 dated the date the Comfort Letter is delivered, which shall meet the requirements set forth in this Section 7(n); provided however, if no placement notice is pending at such Representation Date, then before the Company delivers a Placement Notice or the Agent sells any Placement Shares, the Company shall provide the Agent with the Comfort Letter; provided, further, that if requested by the Agent, the Company shall cause a Comfort Letter to be furnished to the Agent within ten (10) Trading Days of the date of occurrence of any material transaction or event, including the restatement of the Company’s financial statements. The Comfort Letter from the Company’s independent accountants shall be in a form and substance satisfactory to the Agent, (i) confirming that they are an independent public accounting firm within the meaning of the Securities Act and the Public Company Accounting Oversight Board (the “</w:t>
      </w:r>
      <w:r>
        <w:rPr>
          <w:rFonts w:ascii="Times New Roman;Times;Serif" w:hAnsi="Times New Roman;Times;Serif"/>
          <w:b w:val="false"/>
          <w:i w:val="false"/>
          <w:caps w:val="false"/>
          <w:smallCaps w:val="false"/>
          <w:sz w:val="20"/>
          <w:u w:val="single"/>
        </w:rPr>
        <w:t>PCAOB</w:t>
      </w:r>
      <w:r>
        <w:rPr>
          <w:rFonts w:ascii="Times New Roman;Times;Serif" w:hAnsi="Times New Roman;Times;Serif"/>
          <w:b w:val="false"/>
          <w:i w:val="false"/>
          <w:caps w:val="false"/>
          <w:smallCaps w:val="false"/>
          <w:sz w:val="20"/>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Times;Serif" w:hAnsi="Times New Roman;Times;Serif"/>
          <w:b w:val="false"/>
          <w:i w:val="false"/>
          <w:caps w:val="false"/>
          <w:smallCaps w:val="false"/>
          <w:sz w:val="20"/>
          <w:u w:val="single"/>
        </w:rPr>
        <w:t>Initial Comfort Letter</w:t>
      </w:r>
      <w:r>
        <w:rPr>
          <w:rFonts w:ascii="Times New Roman;Times;Serif" w:hAnsi="Times New Roman;Times;Serif"/>
          <w:b w:val="false"/>
          <w:i w:val="false"/>
          <w:caps w:val="false"/>
          <w:smallCaps w:val="false"/>
          <w:sz w:val="20"/>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Common Stock or (ii) sell, bid for, or purchase Common Stock, or pay anyone any compensation for soliciting purchases of the Placement Shares other than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it will not become, at any time prior to the termination of this Agreement, an “investment company,” as such term is defined in the Investment Company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Other than an Issuer Free Writing Prospectus approved in advance by the Company and the Agent in its capacity as agent hereunder, neither the Agent nor the Company (including its agents and representatives, other than Agent in their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use commercially reasonable efforts to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in such number as the Agent shall deem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reasonable out-of-pocket expenses of Agent, including fees and disbursements of counsel to the Agent up to $100,000 (which amount shall include all fees and disbursements of such counsel described in clause (ix) below) and quarterly disbursements of counsel to the Agent up to $3,500 per calendar quarter, (vi) the printing and delivery to the Agent of copies of any Permitted Issuer Free Writing Prospectus (defined below) and the Prospectus and any amendments or supplements thereto in such number as the Agent shall deem necessary, (vii) the preparation, printing and delivery to the Agent of copies of the blue sky survey and any Canadian “wrapper” and any supplements thereto, in such number as the Agent shall deem necessary, (viii) the fees and expenses of the transfer agent and registrar for the Common Stock, (ix) the fees and expenses incident to any review by FINRA of the terms of the sale of the Placement Shares, including fees and expenses of counsel to the Agent, and (x) the fees and expenses incurred in connection with the listing of the Placement Shares on the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Conditions to Agent’s Obligations</w:t>
      </w:r>
      <w:r>
        <w:rPr>
          <w:rFonts w:ascii="Times New Roman;Times;Serif" w:hAnsi="Times New Roman;Times;Serif"/>
          <w:b w:val="false"/>
          <w:i w:val="false"/>
          <w:caps w:val="false"/>
          <w:smallCaps w:val="false"/>
          <w:sz w:val="20"/>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it in its reasonable judgment, and to the continuing satisfaction (or waiver by the Agent in its sole discretion) of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have become effective and shall be available for the sale of all Placement Shares contemplated to be issued by any Placement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the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Agent shall not have advised the Company that the Registration Statement or Prospectus, or any amendment or supplement thereto, contains an untrue statement of fact that in the Agent’s reasonable opinion is material, or omits to state a fact that in the Agent’s opinion is material and is required to be stated therein or is necessary to make the statements therein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The Agent shall have received the opinions and negative assurance of Company Counsel required to be delivered pursuant Section 7(m) on or before the date on which such delivery of such opinion and negative assurance is required pursuant to Section 7(m).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The Agent shall have received the Comfort Letter required to be delivered pursuant Section 7(n) on or before the date on which such delivery of such Comfort Letter is required pursuant to Section 7(n).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The Agent shall have received the certificate required to be delivered pursuant to Section 7(l) on or before the date on which delivery of such certificate is required pursuant to Section 7(l).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On the date of this Agreement, the Agent shall have received a certificate, signed on behalf of the Company by its corporate Secretary, in form and substance satisfactory to the Agent and its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Common Stock shall not have been suspended on the Exchange, and the Common Stock shall not have been delisted from the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On each date on which the Company is required to deliver a certificate pursuant to Section 7(l), the Company shall have furnished to the Agent such appropriate further information, certificates and documents as the Agent may reasonably request. All such opinions, certificates, letters and other documents will be in compliance with the provisions hereof. The Company will furnish the Agent with such conformed copies of such opinions, certificates, letters and other documents as the Agent shall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Shares shall either have been approved for listing quotation on the Exchange, subject only to notice of issuance, or the Company shall have filed an application for listing quotation of the Placement Shares on the Exchange at, or prior to, the issuance of any Placement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There shall not have occurred any event that would permit the Agent to terminate this Agreement pursuant to Section 12(a).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The Company agrees to indemnify and hold harmless the Agent, its partners, members, directors, officers, employees and agents and each person, if any, who controls the Agent within the meaning of Section 15 of the Securities Act or Section 20 of the Exchange Act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10(d) below) any such settlement is effected with the written consent of the Agent, which consent shall not unreasonably be delayed or withheld;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against any and all expense whatsoever, as incurred (including the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indemnity agreement shall not apply to any loss, liability, claim, damage or expense to the extent arising out of any untrue statement or omission or alleged untrue statement or omission made solely in reliance upon and in conformity with written information furnished to the Company by the Agent expressly for use in the Registration Statement (or any amendment thereto), or in any related Issuer Free Writing Prospectus or the Prospectus (or any amendment or supplement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Agent Indemnification</w:t>
      </w:r>
      <w:r>
        <w:rPr>
          <w:rFonts w:ascii="Times New Roman;Times;Serif" w:hAnsi="Times New Roman;Times;Serif"/>
          <w:b w:val="false"/>
          <w:i w:val="false"/>
          <w:caps w:val="false"/>
          <w:smallCaps w:val="false"/>
          <w:sz w:val="20"/>
        </w:rPr>
        <w:t>.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10(a), as incurred, but only with respect to untrue statements or omissions, or alleged untrue statements or omissions, made in the Registration Statement (or any amendments thereto) or the Prospectus (or any amendment or supplement thereto) in reliance upon and in conformity with information relating to the Agent and furnished to the Company in writing by the Agent expressly for use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Any party that proposes to assert the right to be indemnified under this Section 10 will, promptly after receipt of notice of commencement of any action against such party in respect of which a claim is to be made against an indemnifying party or parties under this Section 10,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10 and (ii) any liability that it may have to any indemnified party under the foregoing provision of this Section 10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written advice of counsel) that there may be legal defenses available to it or other indemnified parties that are different from or in addition to those available to the indemnifying party, (3) a conflict or potential conflict exists (based on written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10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In order to provide for just and equitable contribution in circumstances in which the indemnification provided for in the foregoing paragraphs of this Section 10 is applicable in accordance with its terms but for any reason is held to be unavailable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10(d)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10(d) shall be deemed to include, for the purpose of this Section 10(d), any legal or other expenses reasonably incurred by such indemnified party in connection with investigating or defending any such action or claim to the extent consistent with Section 10(c) hereof. Notwithstanding the foregoing provisions of this Section 10(d),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10(d), any person who controls a party to this Agreement within the meaning of the Securities Act, and any officers, directors, partners, employees or agents of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10(d), will notify any such party or parties from whom contribution may be sought, but the omission to so notify will not relieve that party or parties from whom contribution may be sought from any other obligation it or they may have under this Section 10(d) except to the extent that the failure to so notify such other party materially prejudiced the substantive rights or defenses of the party from whom contribution is sought. Except for a settlement entered into pursuant to the last sentence of Section 10(c) hereof, no party will be liable for contribution with respect to any action or claim settled without its written consent if such consent is required pursuant to Section 10(c)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Additional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Covenants of the Agent</w:t>
      </w:r>
      <w:r>
        <w:rPr>
          <w:rFonts w:ascii="Times New Roman;Times;Serif" w:hAnsi="Times New Roman;Times;Serif"/>
          <w:b w:val="false"/>
          <w:i w:val="false"/>
          <w:caps w:val="false"/>
          <w:smallCaps w:val="false"/>
          <w:sz w:val="20"/>
        </w:rPr>
        <w:t>. The Agent represents and warrants that it is duly registered as a broker-dealer under FINRA, the Exchange Act and the applicable statutes and regulations of each state in which the Placement Shares will be offered and sold, except such states in which the Agent is exempt from registration or such registration is not otherwise required. The Agent shall continue, for the term of this Agreement, to be duly registered as a broker-dealer under FINRA, the Exchange Act and the applicable statutes and regulations of each state in which the Placement Shares will be offered and sold, except such states in which the Agent is exempt from registration or such registration is not otherwise required, during the term of this Agreement. The Agent shall comply with all applicable law and regulations in connection with the transactions contemplated by this Agreement, including the issuance and sale through the Agent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The indemnity and contribution agreements contained in Section 10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Shares and payment therefor or (iii) any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may terminate this Agreement, by notice to the Company, as hereinafter specified at any time (1) if there has been, since the time of execution of this Agreement or since the date as of which information is given in the Prospectus, any Material Adverse Effect, or any development that is reasonably likely to have a Material Adverse Effect or,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Section 8 (Expenses), Section 10 (Indemnification), Section 11 (Survival of Representations), Section 17 (Governing Law; Consent to Jurisdiction) and Section 18 (Waiver of Jury Trial) hereof shall remain in full force and effect notwithstanding such termination. If the Agent elects to terminate this Agreement as provided in this Section 12(a), the Agent shall provide the required notice as specified in Section 13 (Notices).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the right, by giving five (5) days’ written notice as hereinafter specified, to terminate this Agreement in its sole discretion at any time after the date of this Agreement. Any such termination shall be without liability of any party to any other party except that the provisions of Section 8, Section 10, Section 11, Section 17 and Section 18 hereof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shall have the right, by giving five (5) days’ written notice as hereinafter specified, to terminate this Agreement in its sole discretion at any time after the date of this Agreement. Any such termination shall be without liability of any party to any other party except that the provisions of Section 8, Section 10, Section 11, Section 17 and Section 18 hereof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earlier terminated pursuant to this Section 12, this Agreement shall automatically terminate upon the issuance and sale of all of the Placement Shares through the Agent on the terms and subject to the conditions set forth herein; provided that the provisions of Section 8, Section 10, Section 11, Section 17 and Section 18 hereof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Agreement shall remain in full force and effect unless terminated pursuant to Sections 12(a), (b), (c), or (d) above or otherwise by mutual agreement of the parties; provided, however, that any such termination by mutual agreement shall in all cases be deemed to provide that Section 8, Section 10, Section 11, Section 17 and Section 18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termination of this Agreement shall be effective on the date specified in such notice of termination; provided, however,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the additional limitations set forth in Section 8 of this Agreement, in the event of termination of this Agreement prior to the sale of any Placement Shares, the Agent shall be entitled only to reimbursement of its out-of-pocket expenses actually incurred.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and if sent to the Agent, shall be delivered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 92660</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No.:</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Managing Director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Worcester LLP</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Danovitch</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shall be delivered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Squared Inc.</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South Andrews Ave., Suite #700</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Lauderdale, FL 33301</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Halabu, Chief Executive Officer</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Zarif Law Group P.C.</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 Springwood Avenue, Suite 110</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Asbury Park, NJ 07712</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Morris C. Zarif</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communication (“</w:t>
      </w:r>
      <w:r>
        <w:rPr>
          <w:rFonts w:ascii="Times New Roman;Times;Serif" w:hAnsi="Times New Roman;Times;Serif"/>
          <w:b w:val="false"/>
          <w:i w:val="false"/>
          <w:caps w:val="false"/>
          <w:smallCaps w:val="false"/>
          <w:sz w:val="20"/>
          <w:u w:val="single"/>
        </w:rPr>
        <w:t>Electronic Notice</w:t>
      </w:r>
      <w:r>
        <w:rPr>
          <w:rFonts w:ascii="Times New Roman;Times;Serif" w:hAnsi="Times New Roman;Times;Serif"/>
          <w:b w:val="false"/>
          <w:i w:val="false"/>
          <w:caps w:val="false"/>
          <w:smallCaps w:val="false"/>
          <w:sz w:val="20"/>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Times;Serif" w:hAnsi="Times New Roman;Times;Serif"/>
          <w:b w:val="false"/>
          <w:i w:val="false"/>
          <w:caps w:val="false"/>
          <w:smallCaps w:val="false"/>
          <w:sz w:val="20"/>
          <w:u w:val="single"/>
        </w:rPr>
        <w:t>Nonelectronic Notic</w:t>
      </w:r>
      <w:r>
        <w:rPr>
          <w:rFonts w:ascii="Times New Roman;Times;Serif" w:hAnsi="Times New Roman;Times;Serif"/>
          <w:b w:val="false"/>
          <w:i w:val="false"/>
          <w:caps w:val="false"/>
          <w:smallCaps w:val="false"/>
          <w:sz w:val="20"/>
        </w:rPr>
        <w:t>e”) which shall be sent to the requesting party within ten (10) days of receipt of the written request for Nonelectronic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inure to the benefit of and be binding upon the Company and the Agent and their respective successors and the affiliates, controlling persons, officers and directors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provided, however, that the Agent may assign its rights and obligations hereunder to an affiliate thereof without obtaining the Company’s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Adjustments for Stock Splits</w:t>
      </w:r>
      <w:r>
        <w:rPr>
          <w:rFonts w:ascii="Times New Roman;Times;Serif" w:hAnsi="Times New Roman;Times;Serif"/>
          <w:b w:val="false"/>
          <w:i w:val="false"/>
          <w:caps w:val="false"/>
          <w:smallCaps w:val="false"/>
          <w:sz w:val="20"/>
        </w:rPr>
        <w:t>. The parties acknowledge and agree that all share-related numbers contained in this Agreement shall be adjusted to take into account any stock split, stock dividend or similar event effected with respect to the Placement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u w:val="single"/>
        </w:rPr>
        <w:t>GOVERNING LAW AND TIME; WAIVER OF JURY TRIAL</w:t>
      </w:r>
      <w:r>
        <w:rPr>
          <w:rFonts w:ascii="Times New Roman;Times;Serif" w:hAnsi="Times New Roman;Times;Serif"/>
          <w:b/>
          <w:i w:val="false"/>
          <w:caps w:val="false"/>
          <w:smallCaps w:val="false"/>
          <w:sz w:val="20"/>
        </w:rPr>
        <w:t>. THIS AGREEMENT SHALL BE GOVERNED BY AND CONSTRUED IN ACCORDANCE WITH THE LAWS OF THE STATE OF NEW YORK WITHOUT REGARD TO THE PRINCIPLES OF CONFLICTS OF LAWS. SPECIFIED TIMES OF DAY REFER TO NEW YORK CITY TIME. THE COMPANY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u w:val="single"/>
        </w:rPr>
        <w:t>CONSENT TO JURISDICTION</w:t>
      </w:r>
      <w:r>
        <w:rPr>
          <w:rFonts w:ascii="Times New Roman;Times;Serif" w:hAnsi="Times New Roman;Times;Serif"/>
          <w:b/>
          <w:i w:val="false"/>
          <w:caps w:val="false"/>
          <w:smallCaps w:val="false"/>
          <w:sz w:val="20"/>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Use of Information</w:t>
      </w:r>
      <w:r>
        <w:rPr>
          <w:rFonts w:ascii="Times New Roman;Times;Serif" w:hAnsi="Times New Roman;Times;Serif"/>
          <w:b w:val="false"/>
          <w:i w:val="false"/>
          <w:caps w:val="false"/>
          <w:smallCaps w:val="false"/>
          <w:sz w:val="20"/>
        </w:rPr>
        <w:t>. The Agent may not use any information gained in connection with this Agreement and the transactions contemplated by this Agreement, including due diligence, to advise any party with respect to transactions not expressly approved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transmission.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and Exhibit headings herein are for convenience only and shall not affect the construction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Permitted Free Writing Prospectuses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warrants and agrees that, unless it obtains the prior consent of the Agent, and the Agent represents, warrants and agrees that, unless it obtains the prior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capable of evaluating and understanding, and understands and accepts, the terms, risks and conditions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has not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is aware that the Agent and its affiliates are engaged in a broad range of transactions which may involve interests that differ from those of the Company and the Agent has no obligation to disclose such interests and transactions to the Company by virtue of any fiduciary, advisory or agency relationship or otherwise;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waives, to the fullest extent permitted by law, any claims it may have against the Agent for breach of fiduciary duty or alleged breach of fiduciary duty in connection with the sale of Placement Shares under this Agreement and agrees that the Agent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 and the Agent’s counsel confidential to the extent not otherwise publicly-available.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have the respective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(i) each Representation Date, (ii) the time of each sale of any Placement Shares pursuant to this Agreement, and (iii) each Settlement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on which the Exchange and commercial banks in the City of New York are open for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refer to such rules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shares of Common Stock are purchased and sold on the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Agent, please so indicate in the space provided below for that purpose, whereupon this letter shall constitute a binding agreement between the Company and the Agent.</w:t>
      </w:r>
    </w:p>
    <w:p>
      <w:pPr>
        <w:pStyle w:val="TextBody"/>
        <w:bidi w:val="0"/>
        <w:spacing w:before="0" w:after="0"/>
        <w:ind w:left="0" w:right="0" w:firstLine="72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75"/>
        <w:gridCol w:w="1784"/>
        <w:gridCol w:w="2676"/>
      </w:tblGrid>
      <w:tr>
        <w:trPr/>
        <w:tc>
          <w:tcPr>
            <w:tcW w:w="75" w:type="dxa"/>
            <w:tcBorders/>
            <w:vAlign w:val="center"/>
          </w:tcPr>
          <w:p>
            <w:pPr>
              <w:pStyle w:val="TableContents"/>
              <w:bidi w:val="0"/>
              <w:spacing w:before="0" w:after="283"/>
              <w:jc w:val="left"/>
              <w:rPr/>
            </w:pPr>
            <w:r>
              <w:rPr/>
              <w:t> </w:t>
            </w:r>
          </w:p>
        </w:tc>
        <w:tc>
          <w:tcPr>
            <w:tcW w:w="4460" w:type="dxa"/>
            <w:gridSpan w:val="2"/>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44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60" w:type="dxa"/>
            <w:gridSpan w:val="2"/>
            <w:tcBorders/>
            <w:vAlign w:val="center"/>
          </w:tcPr>
          <w:p>
            <w:pPr>
              <w:pStyle w:val="TableContents"/>
              <w:bidi w:val="0"/>
              <w:spacing w:before="0" w:after="283"/>
              <w:jc w:val="left"/>
              <w:rPr>
                <w:b/>
              </w:rPr>
            </w:pPr>
            <w:r>
              <w:rPr>
                <w:b/>
              </w:rPr>
              <w:t>Z SQUARED INC.</w:t>
            </w:r>
          </w:p>
        </w:tc>
      </w:tr>
      <w:tr>
        <w:trPr/>
        <w:tc>
          <w:tcPr>
            <w:tcW w:w="75" w:type="dxa"/>
            <w:tcBorders/>
            <w:vAlign w:val="center"/>
          </w:tcPr>
          <w:p>
            <w:pPr>
              <w:pStyle w:val="TableContents"/>
              <w:bidi w:val="0"/>
              <w:spacing w:before="0" w:after="283"/>
              <w:jc w:val="left"/>
              <w:rPr/>
            </w:pPr>
            <w:r>
              <w:rPr/>
              <w:t> </w:t>
            </w:r>
          </w:p>
        </w:tc>
        <w:tc>
          <w:tcPr>
            <w:tcW w:w="44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4" w:type="dxa"/>
            <w:tcBorders/>
            <w:vAlign w:val="center"/>
          </w:tcPr>
          <w:p>
            <w:pPr>
              <w:pStyle w:val="TableContents"/>
              <w:bidi w:val="0"/>
              <w:spacing w:before="0" w:after="283"/>
              <w:jc w:val="left"/>
              <w:rPr/>
            </w:pPr>
            <w:r>
              <w:rPr/>
              <w:t>By:</w:t>
            </w:r>
          </w:p>
        </w:tc>
        <w:tc>
          <w:tcPr>
            <w:tcW w:w="267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4" w:type="dxa"/>
            <w:tcBorders/>
            <w:vAlign w:val="center"/>
          </w:tcPr>
          <w:p>
            <w:pPr>
              <w:pStyle w:val="TableContents"/>
              <w:bidi w:val="0"/>
              <w:spacing w:before="0" w:after="283"/>
              <w:jc w:val="left"/>
              <w:rPr/>
            </w:pPr>
            <w:r>
              <w:rPr/>
              <w:t>Name:</w:t>
            </w:r>
          </w:p>
        </w:tc>
        <w:tc>
          <w:tcPr>
            <w:tcW w:w="26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4" w:type="dxa"/>
            <w:tcBorders/>
            <w:vAlign w:val="center"/>
          </w:tcPr>
          <w:p>
            <w:pPr>
              <w:pStyle w:val="TableContents"/>
              <w:bidi w:val="0"/>
              <w:spacing w:before="0" w:after="283"/>
              <w:jc w:val="left"/>
              <w:rPr/>
            </w:pPr>
            <w:r>
              <w:rPr/>
              <w:t>Title:</w:t>
            </w:r>
          </w:p>
        </w:tc>
        <w:tc>
          <w:tcPr>
            <w:tcW w:w="26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60" w:type="dxa"/>
            <w:gridSpan w:val="2"/>
            <w:tcBorders/>
            <w:vAlign w:val="center"/>
          </w:tcPr>
          <w:p>
            <w:pPr>
              <w:pStyle w:val="TableContents"/>
              <w:bidi w:val="0"/>
              <w:spacing w:before="0" w:after="283"/>
              <w:jc w:val="left"/>
              <w:rPr/>
            </w:pPr>
            <w:r>
              <w:rPr/>
              <w:t>ACCEPTED as of the date first-above written:</w:t>
            </w:r>
          </w:p>
        </w:tc>
      </w:tr>
      <w:tr>
        <w:trPr/>
        <w:tc>
          <w:tcPr>
            <w:tcW w:w="75" w:type="dxa"/>
            <w:tcBorders/>
            <w:vAlign w:val="center"/>
          </w:tcPr>
          <w:p>
            <w:pPr>
              <w:pStyle w:val="TableContents"/>
              <w:bidi w:val="0"/>
              <w:spacing w:before="0" w:after="283"/>
              <w:jc w:val="left"/>
              <w:rPr/>
            </w:pPr>
            <w:r>
              <w:rPr/>
              <w:t> </w:t>
            </w:r>
          </w:p>
        </w:tc>
        <w:tc>
          <w:tcPr>
            <w:tcW w:w="44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60" w:type="dxa"/>
            <w:gridSpan w:val="2"/>
            <w:tcBorders/>
            <w:vAlign w:val="center"/>
          </w:tcPr>
          <w:p>
            <w:pPr>
              <w:pStyle w:val="TableContents"/>
              <w:bidi w:val="0"/>
              <w:spacing w:before="0" w:after="283"/>
              <w:jc w:val="left"/>
              <w:rPr>
                <w:b/>
              </w:rPr>
            </w:pPr>
            <w:r>
              <w:rPr>
                <w:b/>
              </w:rPr>
              <w:t>ROTH CAPITAL PARTNERS, LLC</w:t>
            </w:r>
          </w:p>
        </w:tc>
      </w:tr>
      <w:tr>
        <w:trPr/>
        <w:tc>
          <w:tcPr>
            <w:tcW w:w="75" w:type="dxa"/>
            <w:tcBorders/>
            <w:vAlign w:val="center"/>
          </w:tcPr>
          <w:p>
            <w:pPr>
              <w:pStyle w:val="TableContents"/>
              <w:bidi w:val="0"/>
              <w:spacing w:before="0" w:after="283"/>
              <w:jc w:val="left"/>
              <w:rPr/>
            </w:pPr>
            <w:r>
              <w:rPr/>
              <w:t> </w:t>
            </w:r>
          </w:p>
        </w:tc>
        <w:tc>
          <w:tcPr>
            <w:tcW w:w="44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4" w:type="dxa"/>
            <w:tcBorders/>
            <w:vAlign w:val="center"/>
          </w:tcPr>
          <w:p>
            <w:pPr>
              <w:pStyle w:val="TableContents"/>
              <w:bidi w:val="0"/>
              <w:spacing w:before="0" w:after="283"/>
              <w:jc w:val="left"/>
              <w:rPr/>
            </w:pPr>
            <w:r>
              <w:rPr/>
              <w:t>By:</w:t>
            </w:r>
          </w:p>
        </w:tc>
        <w:tc>
          <w:tcPr>
            <w:tcW w:w="267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4" w:type="dxa"/>
            <w:tcBorders/>
            <w:vAlign w:val="center"/>
          </w:tcPr>
          <w:p>
            <w:pPr>
              <w:pStyle w:val="TableContents"/>
              <w:bidi w:val="0"/>
              <w:spacing w:before="0" w:after="283"/>
              <w:jc w:val="left"/>
              <w:rPr/>
            </w:pPr>
            <w:r>
              <w:rPr/>
              <w:t>Name:</w:t>
            </w:r>
          </w:p>
        </w:tc>
        <w:tc>
          <w:tcPr>
            <w:tcW w:w="26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4" w:type="dxa"/>
            <w:tcBorders/>
            <w:vAlign w:val="center"/>
          </w:tcPr>
          <w:p>
            <w:pPr>
              <w:pStyle w:val="TableContents"/>
              <w:bidi w:val="0"/>
              <w:spacing w:before="0" w:after="283"/>
              <w:jc w:val="left"/>
              <w:rPr/>
            </w:pPr>
            <w:r>
              <w:rPr/>
              <w:t>Title:</w:t>
            </w:r>
          </w:p>
        </w:tc>
        <w:tc>
          <w:tcPr>
            <w:tcW w:w="2676"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ind w:left="0" w:right="0" w:hanging="0"/>
        <w:jc w:val="right"/>
        <w:rPr>
          <w:rFonts w:ascii="Times New Roman;Times;Serif" w:hAnsi="Times New Roman;Times;Serif"/>
          <w:b/>
          <w:i w:val="false"/>
          <w:caps w:val="false"/>
          <w:smallCaps w:val="false"/>
          <w:sz w:val="20"/>
        </w:rPr>
      </w:pPr>
      <w:bookmarkStart w:id="37" w:name="zsquaredex5-1.htm"/>
      <w:bookmarkStart w:id="38" w:name="kszsquaredex51"/>
      <w:bookmarkEnd w:id="37"/>
      <w:bookmarkEnd w:id="38"/>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ZARIF LAW GROUP P.C.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 Springwood Avenue, Suite 110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Asbury Park, NJ 07712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Squared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South Andrews Avenue, Suite 700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Lauderdale, FL 33301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 </w:t>
      </w:r>
      <w:r>
        <w:rPr>
          <w:rFonts w:ascii="Times New Roman;Times;Serif" w:hAnsi="Times New Roman;Times;Serif"/>
          <w:b w:val="false"/>
          <w:i w:val="false"/>
          <w:caps w:val="false"/>
          <w:smallCaps w:val="false"/>
          <w:sz w:val="20"/>
          <w:u w:val="single"/>
        </w:rPr>
        <w:t>Registration Statement on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Z Squared Inc., a Delaware corporation (the “Company”), in connection with the preparation and filing of the Company’s automatic shelf registration statement on Form S-3 (the “Registration Statement”) with the U.S. Securities and Exchange Commission (the “Commission”) under the Securities Act of 1933, as amended (the “Securities Act”), relating to the offering from time to time, pursuant to Rule 415 and Rule 462(e) promulgated thereunder, of (i) shares of the Company’s common stock, par value $0.0001 per share (the “Common Stock”), (ii) shares of preferred stock, par value $0.0001 per share (the “Preferred Stock”), (iii) debt securities (the “Debt Securities”), (iv) warrants to purchase Common Stock, Preferred Stock or Debt Securities (the “Warrants”), (v) rights to purchase Common Stock, Preferred Stock and/or Debt Securities (the “Rights”), and (vi) units representing ownership of Common Stock, Preferred Stock, Debt Securities, Warrants, Rights, or any combination thereof (the “Units”). The Common Stock, the Preferred Stock, the Debt Securities, the Warrants, the Rights, and the Units are collectively referred to as the “Securities.” The offering of the Securities will be as set forth in the prospectus (the “Prospectus”) contained in the Registration Statement, as supplemented by one or more supplements to the Prospectus. The Debt Securities will be issued under one or more indentures (each, an “Indenture”) to be entered into between the Company and a trustee to be named therein. The Warrants will be issued under one or more warrant agreements (each, a “Warrant Agreement”) to be entered into between the Company and the warrant agent party thereto. The Preferred Stock will be issued in one or more series pursuant to the Company’s certificate of incorporation and a certificate of designation for such series (each, a “Certificate of Designation”). The Rights will be issued pursuant to one or more rights agreements (each, a “Rights Agreement”) to be entered into between the Company and the rights agent party thereto. The Units will be issued pursuant to one or more unit agreements (each, a “Unit Agreement”) to be entered into between the Company and the unit agent party thereto. The Indentures, Certificates of Designation, Warrant Agreements, Rights Agreements, and Unit Agreements are hereinafter referred to as the “Securities Documents.” We have also acted as counsel to the Company in connection with the offering, issuance and sale through Roth Capital Partners, LLC, as sales agent (the “Agent”), from time to time by the Company of shares of Common Stock (the “ATM Shares”) having an aggregate offering price of up to $300,000,000 pursuant to the Registration Statement, the base prospectus contained therein (the “Base Prospectus”), and the related sales agreement prospectus for the sale of the ATM Shares contained in the Registration Statement (the Base Prospectus and such sales agreement prospectus, collectively, the “ATM Prospectus”), and that certain Sales Agreement, dated as of July 6, 2026, between the Company and the Agent (the “Sales Agreement”). This opinion letter is being furnished in accordance with the requirements of Item 601(b)(5) of Regulation S-K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and relied upon the Registration Statement, the Prospectus, the ATM Prospectus, the Company’s Certificate of Incorporation, as amended (the “Certificate of Incorporation”), and Second Amended and Restated Bylaws, as amended (the “Bylaws” and, together with the Certificate of Incorporation, the “Charter Documents”), a certificate of the Secretary of State of the State of Delaware as to the good standing of the Company, the resolutions of the board of directors of the Company authorizing the filing of the Registration Statement and the Sales Agreement, and such other documents, records, and certificates of officers of the Company and of public officials as we have deemed necessary or appropriate as a basis for the opinions set forth below. In our examination, we have assumed the genuineness of all signatures, the legal capacity and competency of all natural persons, the authenticity of all documents submitted to us as originals, the conformity to original documents of all documents submitted to us as copies, and the authenticity of the originals of such copies. As to any facts material to the opinions expressed herein that we did not independently establish or verify, we have relied upon statements and representations of officers and other representatives of the Company and others and of public officials. We have further assumed that: (i) at the time of the offering or sale of any Securities, the Registration Statement and any amendments thereto will be effective and will comply with all applicable laws; (ii) an appropriate prospectus supplement relating to the Securities offered thereby will have been prepared and filed with the Commission in compliance with the Securities Act; (iii) the terms of the Securities and the Securities Documents will conform to the descriptions thereof in the Registration Statement and the applicable prospectus supplement; (iv) at the time of the offering or sale, the Securities and the Securities Documents relating thereto will have been duly authorized by all necessary corporate action of the Company and, in the case of the Securities Documents, duly authorized, executed and delivered by the Company and the other parties thereto and will constitute valid and binding obligations of such other parties; (v) all Securities will be issued and sold in compliance with applicable federal and state securities laws and in the manner stated in the Registration Statement and the applicable prospectus supplement; and (vi) the consideration for the Securities will be received by the Company as described in the applicable prospectus supplement and will be not less than the par value thereof, in the case of Common Stock 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qualifications set forth below,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With respect to any Securities consisting of Common Stock, when (a) the issuance of such shares of Common Stock has been duly authorized by all necessary corporate action of the Company and (b) such shares of Common Stock have been duly issued and delivered against payment of the consideration therefor (not less than the par value of the Common Stock) as contemplated by the Registration Statement, the Prospectus and any applicable prospectus supplement, such shares of Common Stock will be validly issued, fully paid and non-assessable.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283"/>
              <w:jc w:val="both"/>
              <w:rPr/>
            </w:pPr>
            <w:r>
              <w:rPr/>
              <w:t>With respect to any Securities consisting of Preferred Stock, when (a) a series of Preferred Stock has been duly established in accordance with the terms of the Certificate of Incorporation and applicable law and authorized by all necessary corporate action of the Company, (b) the relative rights, preferences and limitations of such series have been designated and set forth in a Certificate of Designation duly filed with the Secretary of State of the State of Delaware, and (c) such shares of Preferred Stock have been duly issued and delivered against payment of the consideration therefor (not less than the par value of the Preferred Stock) as contemplated by the Registration Statement, the Prospectus and any applicable prospectus supplement, such shares of Preferred Stock will be validly issued, fully paid and non-assessable.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3.</w:t>
            </w:r>
          </w:p>
        </w:tc>
        <w:tc>
          <w:tcPr>
            <w:tcW w:w="10019" w:type="dxa"/>
            <w:tcBorders/>
            <w:vAlign w:val="center"/>
          </w:tcPr>
          <w:p>
            <w:pPr>
              <w:pStyle w:val="TableContents"/>
              <w:bidi w:val="0"/>
              <w:spacing w:before="0" w:after="283"/>
              <w:jc w:val="both"/>
              <w:rPr/>
            </w:pPr>
            <w:r>
              <w:rPr/>
              <w:t>With respect to any Securities consisting of Debt Securities, when (a) the applicable Indenture has been duly authorized, executed and delivered by the Company and the trustee thereunder and (b) such Debt Securities have been duly authorized, executed, authenticated, issued and delivered against payment of the consideration therefor as contemplated by the Registration Statement, the Prospectus and any applicable prospectus supplement and in accordance with the applicable Indenture, such Debt Securities will constitute valid and binding obligations of the Company, enforceable against the Company in accordance with their terms.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4.</w:t>
            </w:r>
          </w:p>
        </w:tc>
        <w:tc>
          <w:tcPr>
            <w:tcW w:w="10019" w:type="dxa"/>
            <w:tcBorders/>
            <w:vAlign w:val="center"/>
          </w:tcPr>
          <w:p>
            <w:pPr>
              <w:pStyle w:val="TableContents"/>
              <w:bidi w:val="0"/>
              <w:spacing w:before="0" w:after="283"/>
              <w:jc w:val="both"/>
              <w:rPr/>
            </w:pPr>
            <w:r>
              <w:rPr/>
              <w:t>With respect to any Securities consisting of Warrants, when (a) the applicable Warrant Agreement has been duly authorized, executed and delivered by the Company and the warrant agent thereunder and (b) such Warrants have been duly authorized, executed, issued and delivered against payment of the consideration therefor as contemplated by the Registration Statement, the Prospectus and any applicable prospectus supplement and in accordance with the applicable Warrant Agreement, such Warrants will constitute valid and binding obligations of the Company, enforceable against the Company in accordance with their terms.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5.</w:t>
            </w:r>
          </w:p>
        </w:tc>
        <w:tc>
          <w:tcPr>
            <w:tcW w:w="10018" w:type="dxa"/>
            <w:tcBorders/>
            <w:vAlign w:val="center"/>
          </w:tcPr>
          <w:p>
            <w:pPr>
              <w:pStyle w:val="TableContents"/>
              <w:bidi w:val="0"/>
              <w:spacing w:before="0" w:after="283"/>
              <w:jc w:val="both"/>
              <w:rPr/>
            </w:pPr>
            <w:r>
              <w:rPr/>
              <w:t>With respect to any Securities consisting of Rights, when (a) the applicable Rights Agreement has been duly authorized, executed and delivered by the Company and the rights agent thereunder and (b) such Rights have been duly authorized, executed, issued and delivered against payment of the consideration therefor as contemplated by the Registration Statement, the Prospectus and any applicable prospectus supplement and in accordance with the applicable Rights Agreement, such Rights will constitute valid and binding obligations of the Company, enforceable against the Company in accordance with their terms.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6.</w:t>
            </w:r>
          </w:p>
        </w:tc>
        <w:tc>
          <w:tcPr>
            <w:tcW w:w="10018" w:type="dxa"/>
            <w:tcBorders/>
            <w:vAlign w:val="center"/>
          </w:tcPr>
          <w:p>
            <w:pPr>
              <w:pStyle w:val="TableContents"/>
              <w:bidi w:val="0"/>
              <w:spacing w:before="0" w:after="283"/>
              <w:jc w:val="both"/>
              <w:rPr/>
            </w:pPr>
            <w:r>
              <w:rPr/>
              <w:t>With respect to any Securities consisting of Units, when (a) the applicable Unit Agreement has been duly authorized, executed and delivered by the Company and the unit agent thereunder and (b) such Units have been duly authorized, executed, issued and delivered against payment of the consideration therefor as contemplated by the Registration Statement, the Prospectus and any applicable prospectus supplement and in accordance with the applicable Unit Agreement, such Units will constitute valid and binding obligations of the Company, enforceable against the Company in accordance with their terms.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7.</w:t>
            </w:r>
          </w:p>
        </w:tc>
        <w:tc>
          <w:tcPr>
            <w:tcW w:w="10014" w:type="dxa"/>
            <w:tcBorders/>
            <w:vAlign w:val="center"/>
          </w:tcPr>
          <w:p>
            <w:pPr>
              <w:pStyle w:val="TableContents"/>
              <w:bidi w:val="0"/>
              <w:spacing w:before="0" w:after="283"/>
              <w:jc w:val="both"/>
              <w:rPr/>
            </w:pPr>
            <w:r>
              <w:rPr/>
              <w:t>The ATM Shares to be sold by the Company have been duly authorized and, assuming the terms of any sale of the ATM Shares pursuant to the Sales Agreement are approved by the Company’s board of directors or a duly authorized committee thereof, when issued and delivered by the Company and paid for pursuant to the Sales Agreement, the ATM Shares will be validly issued, fully paid and non-assessable.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with respect to the Debt Securities, Warrants, Rights and Units are subject to the qualification that the enforceability of any document, instrument, Security or Securities Document may be limited by or subject to bankruptcy, insolvency, fraudulent transfer or conveyance, reorganization, moratorium or other similar laws relating to or affecting creditors’ rights generally, and general principles of equity (regardless of whether enforcement is sought in a proceeding in equity or at law) and concepts of reasonableness, good faith and fair dealing.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General Corporation Law of the State of Delaware and the laws of the State of New York, in each case as currently in effect (collectively, “Applicable Law”), and we express no opinion with respect to any other laws or any effect that such other laws may have on the opinions expressed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Exhibit 5.1 to the Registration Statement. We also consent to the reference to our firm under the caption “Legal Matters” in the Prospectus and the ATM Prospectus and in each case in any amendment or supplement thereto. In giving this consent, we do not thereby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Zarif Law Group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Morris C. Zarif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zsquaredex23-2.htm"/>
      <w:bookmarkStart w:id="40" w:name="kszsquaredex232"/>
      <w:bookmarkEnd w:id="39"/>
      <w:bookmarkEnd w:id="40"/>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S-3 of Z Squared Inc. of our report dated February 19, 2026 relating to the financial statements of Z Squared, Inc. (now known as Z Squared OpCo, Inc.) as of and for the years ended December 31, 2025 and 2024.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283"/>
              <w:jc w:val="left"/>
              <w:rPr>
                <w:sz w:val="20"/>
              </w:rPr>
            </w:pPr>
            <w:r>
              <w:rPr>
                <w:sz w:val="20"/>
              </w:rPr>
              <w:t>/s/ Stephano Slack LLC</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sz w:val="20"/>
              </w:rPr>
            </w:pPr>
            <w:r>
              <w:rPr>
                <w:sz w:val="20"/>
              </w:rPr>
              <w:t>Wayne, Pennsylvania</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sz w:val="20"/>
              </w:rPr>
            </w:pPr>
            <w:r>
              <w:rPr>
                <w:sz w:val="20"/>
              </w:rPr>
              <w:t>July 6,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1" w:name="zsquaredex23-3.htm"/>
      <w:bookmarkStart w:id="42" w:name="kszsquaredex233"/>
      <w:bookmarkEnd w:id="41"/>
      <w:bookmarkEnd w:id="42"/>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the Form S-3 of Z Squared Inc. (formerly Coeptis Therapeutics Holdings, Inc.) of our report dated March 19, 2026, relating to our audits of the consolidated financial statements of Coeptis Therapeutics Holding, Inc for the years ended December 31, 2025 and 2024. Our report contains an explanatory paragraph regarding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the Prospectus, which is part of this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2402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2"/>
                    <a:stretch>
                      <a:fillRect/>
                    </a:stretch>
                  </pic:blipFill>
                  <pic:spPr bwMode="auto">
                    <a:xfrm>
                      <a:off x="0" y="0"/>
                      <a:ext cx="1724025" cy="4572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Tampa, Florida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43" w:name="zsquaredex-fee.htm"/>
      <w:bookmarkStart w:id="44" w:name="kszsquaredexfee"/>
      <w:bookmarkEnd w:id="43"/>
      <w:bookmarkEnd w:id="44"/>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Z Squared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465" w:type="dxa"/>
        <w:jc w:val="left"/>
        <w:tblInd w:w="0" w:type="dxa"/>
        <w:tblLayout w:type="fixed"/>
        <w:tblCellMar>
          <w:top w:w="0" w:type="dxa"/>
          <w:left w:w="0" w:type="dxa"/>
          <w:bottom w:w="0" w:type="dxa"/>
          <w:right w:w="0" w:type="dxa"/>
        </w:tblCellMar>
      </w:tblPr>
      <w:tblGrid>
        <w:gridCol w:w="530"/>
        <w:gridCol w:w="60"/>
        <w:gridCol w:w="800"/>
        <w:gridCol w:w="60"/>
        <w:gridCol w:w="1025"/>
        <w:gridCol w:w="60"/>
        <w:gridCol w:w="575"/>
        <w:gridCol w:w="60"/>
        <w:gridCol w:w="1100"/>
        <w:gridCol w:w="60"/>
        <w:gridCol w:w="1025"/>
        <w:gridCol w:w="60"/>
        <w:gridCol w:w="696"/>
        <w:gridCol w:w="299"/>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46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Preferred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Common Stock, par value $0.0001 per share (sales agreement prospectus)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300,000,000.00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41,430.00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300,000,000.00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41,430.00</w:t>
            </w:r>
          </w:p>
        </w:tc>
      </w:tr>
      <w:tr>
        <w:trPr/>
        <w:tc>
          <w:tcPr>
            <w:tcW w:w="641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641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41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41,430.00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4"/>
        <w:gridCol w:w="23"/>
        <w:gridCol w:w="9948"/>
      </w:tblGrid>
      <w:tr>
        <w:trPr/>
        <w:tc>
          <w:tcPr>
            <w:tcW w:w="23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8" w:type="dxa"/>
            <w:tcBorders/>
            <w:vAlign w:val="center"/>
          </w:tcPr>
          <w:p>
            <w:pPr>
              <w:pStyle w:val="TableContents"/>
              <w:bidi w:val="0"/>
              <w:spacing w:before="0" w:after="283"/>
              <w:jc w:val="both"/>
              <w:rPr/>
            </w:pPr>
            <w:r>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 The Registrant is deferring payment of the registration fee pursuant to Rule 456(b) under the Securities Act of 1933, as amended (the “Securities Act”), and is excluding this information in reliance on Rule 456(b) and Rule 457(r) under the Securities Act, other than the registration fee due in connection with $300,000,000 of shares of Common Stock that may be issued and sold from time to time under the sales agreement prospectus included in this Registration Statement pursuant to that certain Sales Agreement, dated as of July 6, 2026, between the Registrant and Roth Capital Partners, LLC. Any subsequent registration fees will be paid on a pay-as-you-go basis.</w:t>
            </w:r>
          </w:p>
        </w:tc>
      </w:tr>
    </w:tbl>
    <w:tbl>
      <w:tblPr>
        <w:tblW w:w="2343" w:type="dxa"/>
        <w:jc w:val="left"/>
        <w:tblInd w:w="0" w:type="dxa"/>
        <w:tblLayout w:type="fixed"/>
        <w:tblCellMar>
          <w:top w:w="0" w:type="dxa"/>
          <w:left w:w="0" w:type="dxa"/>
          <w:bottom w:w="0" w:type="dxa"/>
          <w:right w:w="0" w:type="dxa"/>
        </w:tblCellMar>
      </w:tblPr>
      <w:tblGrid>
        <w:gridCol w:w="305"/>
        <w:gridCol w:w="23"/>
        <w:gridCol w:w="2015"/>
      </w:tblGrid>
      <w:tr>
        <w:trPr/>
        <w:tc>
          <w:tcPr>
            <w:tcW w:w="305"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both"/>
              <w:rPr/>
            </w:pPr>
            <w:r>
              <w:rPr/>
              <w:t>See Offering Note 1.</w:t>
            </w:r>
          </w:p>
        </w:tc>
      </w:tr>
    </w:tbl>
    <w:tbl>
      <w:tblPr>
        <w:tblW w:w="10205" w:type="dxa"/>
        <w:jc w:val="left"/>
        <w:tblInd w:w="0" w:type="dxa"/>
        <w:tblLayout w:type="fixed"/>
        <w:tblCellMar>
          <w:top w:w="0" w:type="dxa"/>
          <w:left w:w="0" w:type="dxa"/>
          <w:bottom w:w="0" w:type="dxa"/>
          <w:right w:w="0" w:type="dxa"/>
        </w:tblCellMar>
      </w:tblPr>
      <w:tblGrid>
        <w:gridCol w:w="290"/>
        <w:gridCol w:w="23"/>
        <w:gridCol w:w="9892"/>
      </w:tblGrid>
      <w:tr>
        <w:trPr/>
        <w:tc>
          <w:tcPr>
            <w:tcW w:w="290"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892" w:type="dxa"/>
            <w:tcBorders/>
            <w:vAlign w:val="center"/>
          </w:tcPr>
          <w:p>
            <w:pPr>
              <w:pStyle w:val="TableContents"/>
              <w:bidi w:val="0"/>
              <w:spacing w:before="0" w:after="283"/>
              <w:jc w:val="both"/>
              <w:rPr/>
            </w:pPr>
            <w:r>
              <w:rPr/>
              <w:t>See Offering Note 1. Debt securities may be senior or subordinated, convertible or non-convertible and secured or unsecured.</w:t>
            </w:r>
          </w:p>
        </w:tc>
      </w:tr>
    </w:tbl>
    <w:tbl>
      <w:tblPr>
        <w:tblW w:w="10205" w:type="dxa"/>
        <w:jc w:val="left"/>
        <w:tblInd w:w="0" w:type="dxa"/>
        <w:tblLayout w:type="fixed"/>
        <w:tblCellMar>
          <w:top w:w="0" w:type="dxa"/>
          <w:left w:w="0" w:type="dxa"/>
          <w:bottom w:w="0" w:type="dxa"/>
          <w:right w:w="0" w:type="dxa"/>
        </w:tblCellMar>
      </w:tblPr>
      <w:tblGrid>
        <w:gridCol w:w="279"/>
        <w:gridCol w:w="23"/>
        <w:gridCol w:w="9903"/>
      </w:tblGrid>
      <w:tr>
        <w:trPr/>
        <w:tc>
          <w:tcPr>
            <w:tcW w:w="279"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03" w:type="dxa"/>
            <w:tcBorders/>
            <w:vAlign w:val="center"/>
          </w:tcPr>
          <w:p>
            <w:pPr>
              <w:pStyle w:val="TableContents"/>
              <w:bidi w:val="0"/>
              <w:spacing w:before="0" w:after="283"/>
              <w:jc w:val="both"/>
              <w:rPr/>
            </w:pPr>
            <w:r>
              <w:rPr/>
              <w:t>See Offering Note 1. Warrants may represent rights to purchase debt securities, Common Stock, Preferred Stock or other securities registered hereunder.</w:t>
            </w:r>
          </w:p>
        </w:tc>
      </w:tr>
    </w:tbl>
    <w:tbl>
      <w:tblPr>
        <w:tblW w:w="10205" w:type="dxa"/>
        <w:jc w:val="left"/>
        <w:tblInd w:w="0" w:type="dxa"/>
        <w:tblLayout w:type="fixed"/>
        <w:tblCellMar>
          <w:top w:w="0" w:type="dxa"/>
          <w:left w:w="0" w:type="dxa"/>
          <w:bottom w:w="0" w:type="dxa"/>
          <w:right w:w="0" w:type="dxa"/>
        </w:tblCellMar>
      </w:tblPr>
      <w:tblGrid>
        <w:gridCol w:w="287"/>
        <w:gridCol w:w="23"/>
        <w:gridCol w:w="9895"/>
      </w:tblGrid>
      <w:tr>
        <w:trPr/>
        <w:tc>
          <w:tcPr>
            <w:tcW w:w="287"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895" w:type="dxa"/>
            <w:tcBorders/>
            <w:vAlign w:val="center"/>
          </w:tcPr>
          <w:p>
            <w:pPr>
              <w:pStyle w:val="TableContents"/>
              <w:bidi w:val="0"/>
              <w:spacing w:before="0" w:after="283"/>
              <w:jc w:val="both"/>
              <w:rPr/>
            </w:pPr>
            <w:r>
              <w:rPr/>
              <w:t>See Offering Note 1. Rights evidence rights to purchase any securities of the Registrant registered under this Registration Statement.</w:t>
            </w:r>
          </w:p>
        </w:tc>
      </w:tr>
    </w:tbl>
    <w:tbl>
      <w:tblPr>
        <w:tblW w:w="10205" w:type="dxa"/>
        <w:jc w:val="left"/>
        <w:tblInd w:w="0" w:type="dxa"/>
        <w:tblLayout w:type="fixed"/>
        <w:tblCellMar>
          <w:top w:w="0" w:type="dxa"/>
          <w:left w:w="0" w:type="dxa"/>
          <w:bottom w:w="0" w:type="dxa"/>
          <w:right w:w="0" w:type="dxa"/>
        </w:tblCellMar>
      </w:tblPr>
      <w:tblGrid>
        <w:gridCol w:w="271"/>
        <w:gridCol w:w="23"/>
        <w:gridCol w:w="9911"/>
      </w:tblGrid>
      <w:tr>
        <w:trPr/>
        <w:tc>
          <w:tcPr>
            <w:tcW w:w="271"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9911" w:type="dxa"/>
            <w:tcBorders/>
            <w:vAlign w:val="center"/>
          </w:tcPr>
          <w:p>
            <w:pPr>
              <w:pStyle w:val="TableContents"/>
              <w:bidi w:val="0"/>
              <w:spacing w:before="0" w:after="283"/>
              <w:jc w:val="both"/>
              <w:rPr/>
            </w:pPr>
            <w:r>
              <w:rPr/>
              <w:t>See Offering Note 1. Any securities registered under this Registration Statement may be sold separately or as units with other securities registered under this Registration Statement.</w:t>
            </w:r>
          </w:p>
        </w:tc>
      </w:tr>
    </w:tbl>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(7)</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Represents shares of Common Stock issuable and sellable from time to time under the sales agreement prospectus included in this Registration Statement, having an aggregate offering price of up to $300,000,000, pursuant to the Sales Agreement with Roth Capital Partners, LLC. The registration fee has been calculated pursuant to Rule 457(o) under the Securities Act at the fee rate of $138.10 per $1,000,000 of the maximum aggregate offering price (0.00013810), and is being paid in connection with the filing of this Registration Statement. Pursuant to Rule 416 under the Securities Act, this Registration Statement also covers such additional number of shares of Common Stock as may become issuable to prevent dilution resulting from stock splits, stock dividends, recapitalizations or similar transactions.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59186/000168316826002026/coeptis_i10k-123125.htm" TargetMode="External"/><Relationship Id="rId3" Type="http://schemas.openxmlformats.org/officeDocument/2006/relationships/hyperlink" Target="http://www.sec.gov/Archives/edgar/data/1759186/000168316826003948/zsquared_i10q-033126.htm" TargetMode="External"/><Relationship Id="rId4" Type="http://schemas.openxmlformats.org/officeDocument/2006/relationships/hyperlink" Target="http://www.sec.gov/Archives/edgar/data/1759186/000168316826003388/zsquared_8k.htm" TargetMode="External"/><Relationship Id="rId5" Type="http://schemas.openxmlformats.org/officeDocument/2006/relationships/hyperlink" Target="http://www.sec.gov/Archives/edgar/data/1759186/000168316826004425/zsquared_8ka1.htm" TargetMode="External"/><Relationship Id="rId6" Type="http://schemas.openxmlformats.org/officeDocument/2006/relationships/hyperlink" Target="http://www.sec.gov/Archives/edgar/data/1759186/000168316826000370/coeptis_8k.htm" TargetMode="External"/><Relationship Id="rId7" Type="http://schemas.openxmlformats.org/officeDocument/2006/relationships/hyperlink" Target="http://www.sec.gov/Archives/edgar/data/1759186/000168316826000751/coeptis_8k.htm" TargetMode="External"/><Relationship Id="rId8" Type="http://schemas.openxmlformats.org/officeDocument/2006/relationships/hyperlink" Target="http://www.sec.gov/Archives/edgar/data/1759186/000168316826000963/coeptis_8k.htm" TargetMode="External"/><Relationship Id="rId9" Type="http://schemas.openxmlformats.org/officeDocument/2006/relationships/hyperlink" Target="http://www.sec.gov/Archives/edgar/data/1759186/000168316826002726/coeptis_8k.htm" TargetMode="External"/><Relationship Id="rId10" Type="http://schemas.openxmlformats.org/officeDocument/2006/relationships/hyperlink" Target="http://www.sec.gov/Archives/edgar/data/1759186/000168316826003199/coeptis_8k.htm" TargetMode="External"/><Relationship Id="rId11" Type="http://schemas.openxmlformats.org/officeDocument/2006/relationships/hyperlink" Target="http://www.sec.gov/Archives/edgar/data/1759186/000168316826003247/zsquared_8k.htm" TargetMode="External"/><Relationship Id="rId12" Type="http://schemas.openxmlformats.org/officeDocument/2006/relationships/hyperlink" Target="http://www.sec.gov/Archives/edgar/data/1759186/000168316826003426/zsquared_8k.htm" TargetMode="External"/><Relationship Id="rId13" Type="http://schemas.openxmlformats.org/officeDocument/2006/relationships/hyperlink" Target="http://www.sec.gov/Archives/edgar/data/1759186/000168316826004194/zsquared_8k.htm" TargetMode="External"/><Relationship Id="rId14" Type="http://schemas.openxmlformats.org/officeDocument/2006/relationships/hyperlink" Target="http://www.sec.gov/Archives/edgar/data/1759186/000168316826004273/zsquared_8k.htm" TargetMode="External"/><Relationship Id="rId15" Type="http://schemas.openxmlformats.org/officeDocument/2006/relationships/hyperlink" Target="http://www.sec.gov/Archives/edgar/data/1759186/000168316826004560/zsquared_8k.htm" TargetMode="External"/><Relationship Id="rId16" Type="http://schemas.openxmlformats.org/officeDocument/2006/relationships/hyperlink" Target="http://www.sec.gov/Archives/edgar/data/1759186/000118518526002659/zsquared8k062526.htm" TargetMode="External"/><Relationship Id="rId17" Type="http://schemas.openxmlformats.org/officeDocument/2006/relationships/hyperlink" Target="http://www.sec.gov/Archives/edgar/data/1759186/000118518526002708/zsquared8k062926.htm" TargetMode="External"/><Relationship Id="rId18" Type="http://schemas.openxmlformats.org/officeDocument/2006/relationships/hyperlink" Target="http://www.sec.gov/Archives/edgar/data/1759186/000118518526002750/zsquared8k063026.htm" TargetMode="External"/><Relationship Id="rId19" Type="http://schemas.openxmlformats.org/officeDocument/2006/relationships/hyperlink" Target="http://www.sec.gov/Archives/edgar/data/1759186/000168316826003388/zsquared_8k.htm" TargetMode="External"/><Relationship Id="rId20" Type="http://schemas.openxmlformats.org/officeDocument/2006/relationships/hyperlink" Target="http://www.sec.gov/Archives/edgar/data/1759186/000168316826002026/coeptis_i10k-123125.htm" TargetMode="External"/><Relationship Id="rId21" Type="http://schemas.openxmlformats.org/officeDocument/2006/relationships/hyperlink" Target="http://www.sec.gov/Archives/edgar/data/1759186/000168316826003948/zsquared_i10q-033126.htm" TargetMode="External"/><Relationship Id="rId22" Type="http://schemas.openxmlformats.org/officeDocument/2006/relationships/hyperlink" Target="http://www.sec.gov/Archives/edgar/data/1759186/000168316826003388/zsquared_8k.htm" TargetMode="External"/><Relationship Id="rId23" Type="http://schemas.openxmlformats.org/officeDocument/2006/relationships/hyperlink" Target="http://www.sec.gov/Archives/edgar/data/1759186/000168316826004425/zsquared_8ka1.htm" TargetMode="External"/><Relationship Id="rId24" Type="http://schemas.openxmlformats.org/officeDocument/2006/relationships/hyperlink" Target="http://www.sec.gov/Archives/edgar/data/1759186/000168316826000370/coeptis_8k.htm" TargetMode="External"/><Relationship Id="rId25" Type="http://schemas.openxmlformats.org/officeDocument/2006/relationships/hyperlink" Target="http://www.sec.gov/Archives/edgar/data/1759186/000168316826000751/coeptis_8k.htm" TargetMode="External"/><Relationship Id="rId26" Type="http://schemas.openxmlformats.org/officeDocument/2006/relationships/hyperlink" Target="http://www.sec.gov/Archives/edgar/data/1759186/000168316826000963/coeptis_8k.htm" TargetMode="External"/><Relationship Id="rId27" Type="http://schemas.openxmlformats.org/officeDocument/2006/relationships/hyperlink" Target="http://www.sec.gov/Archives/edgar/data/1759186/000168316826002726/coeptis_8k.htm" TargetMode="External"/><Relationship Id="rId28" Type="http://schemas.openxmlformats.org/officeDocument/2006/relationships/hyperlink" Target="http://www.sec.gov/Archives/edgar/data/1759186/000168316826003199/coeptis_8k.htm" TargetMode="External"/><Relationship Id="rId29" Type="http://schemas.openxmlformats.org/officeDocument/2006/relationships/hyperlink" Target="http://www.sec.gov/Archives/edgar/data/1759186/000168316826003247/zsquared_8k.htm" TargetMode="External"/><Relationship Id="rId30" Type="http://schemas.openxmlformats.org/officeDocument/2006/relationships/hyperlink" Target="http://www.sec.gov/Archives/edgar/data/1759186/000168316826003426/zsquared_8k.htm" TargetMode="External"/><Relationship Id="rId31" Type="http://schemas.openxmlformats.org/officeDocument/2006/relationships/hyperlink" Target="http://www.sec.gov/Archives/edgar/data/1759186/000168316826004194/zsquared_8k.htm" TargetMode="External"/><Relationship Id="rId32" Type="http://schemas.openxmlformats.org/officeDocument/2006/relationships/hyperlink" Target="http://www.sec.gov/Archives/edgar/data/1759186/000168316826004273/zsquared_8k.htm" TargetMode="External"/><Relationship Id="rId33" Type="http://schemas.openxmlformats.org/officeDocument/2006/relationships/hyperlink" Target="http://www.sec.gov/Archives/edgar/data/1759186/000168316826004560/zsquared_8k.htm" TargetMode="External"/><Relationship Id="rId34" Type="http://schemas.openxmlformats.org/officeDocument/2006/relationships/hyperlink" Target="http://www.sec.gov/Archives/edgar/data/1759186/000118518526002659/zsquared8k062526.htm" TargetMode="External"/><Relationship Id="rId35" Type="http://schemas.openxmlformats.org/officeDocument/2006/relationships/hyperlink" Target="http://www.sec.gov/Archives/edgar/data/1759186/000168316826003388/zsquared_8k.htm" TargetMode="External"/><Relationship Id="rId36" Type="http://schemas.openxmlformats.org/officeDocument/2006/relationships/hyperlink" Target="http://www.sec.gov/Archives/edgar/data/1759186/000168316825002856/coeptis_ex0201.htm" TargetMode="External"/><Relationship Id="rId37" Type="http://schemas.openxmlformats.org/officeDocument/2006/relationships/hyperlink" Target="http://www.sec.gov/Archives/edgar/data/1759186/000168316825004762/coeptis_ex0202.htm" TargetMode="External"/><Relationship Id="rId38" Type="http://schemas.openxmlformats.org/officeDocument/2006/relationships/hyperlink" Target="http://www.sec.gov/Archives/edgar/data/1759186/000168316825004762/coeptis_ex0203.htm" TargetMode="External"/><Relationship Id="rId39" Type="http://schemas.openxmlformats.org/officeDocument/2006/relationships/hyperlink" Target="http://www.sec.gov/Archives/edgar/data/1759186/000168316825004762/coeptis_ex0204.htm" TargetMode="External"/><Relationship Id="rId40" Type="http://schemas.openxmlformats.org/officeDocument/2006/relationships/hyperlink" Target="http://www.sec.gov/Archives/edgar/data/1759186/000168316825006932/coeptis_ex0205.htm" TargetMode="External"/><Relationship Id="rId41" Type="http://schemas.openxmlformats.org/officeDocument/2006/relationships/hyperlink" Target="http://www.sec.gov/Archives/edgar/data/1759186/000168316825006932/coeptis_ex0206.htm" TargetMode="External"/><Relationship Id="rId42" Type="http://schemas.openxmlformats.org/officeDocument/2006/relationships/hyperlink" Target="http://www.sec.gov/Archives/edgar/data/1759186/000168316825007407/coeptis_ex0207.htm" TargetMode="External"/><Relationship Id="rId43" Type="http://schemas.openxmlformats.org/officeDocument/2006/relationships/hyperlink" Target="http://www.sec.gov/Archives/edgar/data/1759186/000168316822007257/coeptis_ex0301.htm" TargetMode="External"/><Relationship Id="rId44" Type="http://schemas.openxmlformats.org/officeDocument/2006/relationships/hyperlink" Target="http://www.sec.gov/Archives/edgar/data/1759186/000168316824009012/coeptis_ex9901.htm" TargetMode="External"/><Relationship Id="rId45" Type="http://schemas.openxmlformats.org/officeDocument/2006/relationships/hyperlink" Target="http://www.sec.gov/Archives/edgar/data/1759186/000168316826003388/zsquared_0302.htm" TargetMode="External"/><Relationship Id="rId46" Type="http://schemas.openxmlformats.org/officeDocument/2006/relationships/hyperlink" Target="http://www.sec.gov/Archives/edgar/data/1759186/000168316826003948/zsquared_ex0303.htm" TargetMode="External"/><Relationship Id="rId47" Type="http://schemas.openxmlformats.org/officeDocument/2006/relationships/hyperlink" Target="http://www.sec.gov/Archives/edgar/data/1759186/000168316824004361/coeptis_ex9901.htm" TargetMode="External"/><Relationship Id="rId48" Type="http://schemas.openxmlformats.org/officeDocument/2006/relationships/hyperlink" Target="http://www.sec.gov/Archives/edgar/data/1819663/000168316822001274/coeptis_8k-ex0401.htm" TargetMode="External"/><Relationship Id="rId49" Type="http://schemas.openxmlformats.org/officeDocument/2006/relationships/hyperlink" Target="http://www.sec.gov/Archives/edgar/data/1759186/000168316824007685/coeptis_ex1001.htm" TargetMode="External"/><Relationship Id="rId50" Type="http://schemas.openxmlformats.org/officeDocument/2006/relationships/hyperlink" Target="http://www.sec.gov/Archives/edgar/data/1759186/000168316824007685/coeptis_ex1002.htm" TargetMode="External"/><Relationship Id="rId51" Type="http://schemas.openxmlformats.org/officeDocument/2006/relationships/hyperlink" Target="http://www.sec.gov/Archives/edgar/data/1759186/000168316824007685/coeptis_ex1003.htm" TargetMode="External"/><Relationship Id="rId52" Type="http://schemas.openxmlformats.org/officeDocument/2006/relationships/hyperlink" Target="http://www.sec.gov/Archives/edgar/data/1759186/000168316825000537/coeptis_ex1001.htm" TargetMode="External"/><Relationship Id="rId53" Type="http://schemas.openxmlformats.org/officeDocument/2006/relationships/hyperlink" Target="http://www.sec.gov/Archives/edgar/data/1759186/000168316825002856/coeptis_ex1001.htm" TargetMode="External"/><Relationship Id="rId54" Type="http://schemas.openxmlformats.org/officeDocument/2006/relationships/hyperlink" Target="http://www.sec.gov/Archives/edgar/data/1759186/000168316826003388/zsquared_1001.htm" TargetMode="External"/><Relationship Id="rId55" Type="http://schemas.openxmlformats.org/officeDocument/2006/relationships/hyperlink" Target="http://www.sec.gov/Archives/edgar/data/1759186/000168316826003388/zsquared_1013.htm" TargetMode="External"/><Relationship Id="rId56" Type="http://schemas.openxmlformats.org/officeDocument/2006/relationships/hyperlink" Target="http://www.sec.gov/Archives/edgar/data/1759186/000168316825006932/coeptis_ex1025.htm" TargetMode="External"/><Relationship Id="rId57" Type="http://schemas.openxmlformats.org/officeDocument/2006/relationships/hyperlink" Target="http://www.sec.gov/Archives/edgar/data/1759186/000168316825007407/coeptis_ex1024.htm" TargetMode="External"/><Relationship Id="rId58" Type="http://schemas.openxmlformats.org/officeDocument/2006/relationships/hyperlink" Target="http://www.sec.gov/Archives/edgar/data/1759186/000168316826003426/zsquared_ex1004.htm" TargetMode="External"/><Relationship Id="rId59" Type="http://schemas.openxmlformats.org/officeDocument/2006/relationships/hyperlink" Target="http://www.sec.gov/Archives/edgar/data/1759186/000168316826003426/zsquared_ex1003.htm" TargetMode="External"/><Relationship Id="rId60" Type="http://schemas.openxmlformats.org/officeDocument/2006/relationships/hyperlink" Target="http://www.sec.gov/Archives/edgar/data/1759186/000168316826003388/zsquared_1002.htm" TargetMode="External"/><Relationship Id="rId61" Type="http://schemas.openxmlformats.org/officeDocument/2006/relationships/hyperlink" Target="http://www.sec.gov/Archives/edgar/data/1759186/000168316826003426/zsquared_ex1005.htm" TargetMode="External"/><Relationship Id="rId62" Type="http://schemas.openxmlformats.org/officeDocument/2006/relationships/hyperlink" Target="http://www.sec.gov/Archives/edgar/data/1759186/000168316826003388/zsquared_1003.htm" TargetMode="External"/><Relationship Id="rId63" Type="http://schemas.openxmlformats.org/officeDocument/2006/relationships/hyperlink" Target="http://www.sec.gov/Archives/edgar/data/1759186/000168316826003388/zsquared_1006.htm" TargetMode="External"/><Relationship Id="rId64" Type="http://schemas.openxmlformats.org/officeDocument/2006/relationships/hyperlink" Target="http://www.sec.gov/Archives/edgar/data/1759186/000168316826003388/zsquared_1007.htm" TargetMode="External"/><Relationship Id="rId65" Type="http://schemas.openxmlformats.org/officeDocument/2006/relationships/hyperlink" Target="http://www.sec.gov/Archives/edgar/data/1759186/000168316826003388/zsquared_1008.htm" TargetMode="External"/><Relationship Id="rId66" Type="http://schemas.openxmlformats.org/officeDocument/2006/relationships/hyperlink" Target="http://www.sec.gov/Archives/edgar/data/1759186/000168316826003388/zsquared_1009.htm" TargetMode="External"/><Relationship Id="rId67" Type="http://schemas.openxmlformats.org/officeDocument/2006/relationships/hyperlink" Target="http://www.sec.gov/Archives/edgar/data/1759186/000168316826003388/zsquared_1010.htm" TargetMode="External"/><Relationship Id="rId68" Type="http://schemas.openxmlformats.org/officeDocument/2006/relationships/hyperlink" Target="http://www.sec.gov/Archives/edgar/data/1759186/000168316826003388/zsquared_1011.htm" TargetMode="External"/><Relationship Id="rId69" Type="http://schemas.openxmlformats.org/officeDocument/2006/relationships/hyperlink" Target="http://www.sec.gov/Archives/edgar/data/1759186/000168316826003426/zsquared_ex1006.htm" TargetMode="External"/><Relationship Id="rId70" Type="http://schemas.openxmlformats.org/officeDocument/2006/relationships/hyperlink" Target="http://www.sec.gov/Archives/edgar/data/1759186/000168316826003426/zsquared_ex1007.htm" TargetMode="External"/><Relationship Id="rId71" Type="http://schemas.openxmlformats.org/officeDocument/2006/relationships/hyperlink" Target="http://www.sec.gov/Archives/edgar/data/1759186/000168316826003426/zsquared_ex1008.htm" TargetMode="External"/><Relationship Id="rId72" Type="http://schemas.openxmlformats.org/officeDocument/2006/relationships/hyperlink" Target="http://www.sec.gov/Archives/edgar/data/1759186/000168316826003426/zsquared_ex1001.htm" TargetMode="External"/><Relationship Id="rId73" Type="http://schemas.openxmlformats.org/officeDocument/2006/relationships/hyperlink" Target="http://www.sec.gov/Archives/edgar/data/1759186/000168316826004560/zsquared_ex1001.htm" TargetMode="External"/><Relationship Id="rId74" Type="http://schemas.openxmlformats.org/officeDocument/2006/relationships/hyperlink" Target="http://www.sec.gov/Archives/edgar/data/1759186/000168316826003426/zsquared_ex1009.htm" TargetMode="External"/><Relationship Id="rId75" Type="http://schemas.openxmlformats.org/officeDocument/2006/relationships/hyperlink" Target="http://www.sec.gov/Archives/edgar/data/1759186/000168316826003426/zsquared_ex1010.htm" TargetMode="External"/><Relationship Id="rId76" Type="http://schemas.openxmlformats.org/officeDocument/2006/relationships/hyperlink" Target="http://www.sec.gov/Archives/edgar/data/1759186/000168316826003426/zsquared_ex1012.htm" TargetMode="External"/><Relationship Id="rId77" Type="http://schemas.openxmlformats.org/officeDocument/2006/relationships/hyperlink" Target="http://www.sec.gov/Archives/edgar/data/1759186/000168316826003426/zsquared_ex1013.htm" TargetMode="External"/><Relationship Id="rId78" Type="http://schemas.openxmlformats.org/officeDocument/2006/relationships/hyperlink" Target="http://www.sec.gov/Archives/edgar/data/1759186/000168316826003426/zsquared_ex1014.htm" TargetMode="External"/><Relationship Id="rId79" Type="http://schemas.openxmlformats.org/officeDocument/2006/relationships/hyperlink" Target="http://www.sec.gov/Archives/edgar/data/1759186/000118518526002659/zsquaredex10-1.htm" TargetMode="External"/><Relationship Id="rId80" Type="http://schemas.openxmlformats.org/officeDocument/2006/relationships/hyperlink" Target="http://www.sec.gov/Archives/edgar/data/1759186/000118518526002750/zsquaredex10-1.htm" TargetMode="External"/><Relationship Id="rId81" Type="http://schemas.openxmlformats.org/officeDocument/2006/relationships/hyperlink" Target="http://www.sec.gov/Archives/edgar/data/1759186/000168316826003388/zsquared_2101.htm" TargetMode="External"/><Relationship Id="rId82" Type="http://schemas.openxmlformats.org/officeDocument/2006/relationships/image" Target="media/image1.jpeg"/><Relationship Id="rId83" Type="http://schemas.openxmlformats.org/officeDocument/2006/relationships/fontTable" Target="fontTable.xml"/><Relationship Id="rId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54115</Words>
  <Characters>283716</Characters>
  <CharactersWithSpaces>337798</CharactersWithSpaces>
  <Paragraphs>2916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