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333-262506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(Pre-Effective Amendment No. 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37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5961</w:t>
            </w:r>
          </w:p>
        </w:tc>
        <w:tc>
          <w:tcPr>
            <w:tcW w:w="294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83-4284557</w:t>
            </w:r>
          </w:p>
        </w:tc>
      </w:tr>
      <w:tr>
        <w:trPr>
          <w:trHeight w:val="216"/>
        </w:trPr>
        <w:tc>
          <w:tcPr>
            <w:tcW w:w="37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9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7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9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94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 Bradford Rd., Suite 420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Wexford, PA 15090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(724) 934-6467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Mehalick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 Bradford Rd., Suite 420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Wexford, PA 15090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(724) 934-6467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Denis Dufresne,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Louis Lombardo,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Meister Seelig &amp; Fein LLP</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125 Park Avenue, 7</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655-3500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(212) 655-3535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w:t>
      </w:r>
    </w:p>
    <w:p>
      <w:pPr>
        <w:spacing w:after="0" w:line="22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20" w:type="dxa"/>
            <w:vAlign w:val="bottom"/>
          </w:tcPr>
          <w:p>
            <w:pPr>
              <w:jc w:val="center"/>
              <w:ind w:left="530"/>
              <w:spacing w:after="0" w:line="207" w:lineRule="exact"/>
              <w:rPr>
                <w:sz w:val="20"/>
                <w:szCs w:val="20"/>
                <w:color w:val="auto"/>
              </w:rPr>
            </w:pPr>
            <w:r>
              <w:rPr>
                <w:rFonts w:ascii="Times New Roman" w:cs="Times New Roman" w:eastAsia="Times New Roman" w:hAnsi="Times New Roman"/>
                <w:sz w:val="18"/>
                <w:szCs w:val="18"/>
                <w:color w:val="auto"/>
                <w:w w:val="92"/>
              </w:rPr>
              <w:t> </w:t>
            </w:r>
            <w:r>
              <w:rPr>
                <w:rFonts w:ascii="MS PGothic" w:cs="MS PGothic" w:eastAsia="MS PGothic" w:hAnsi="MS PGothic"/>
                <w:sz w:val="18"/>
                <w:szCs w:val="18"/>
                <w:color w:val="auto"/>
                <w:w w:val="92"/>
              </w:rPr>
              <w:t>☐</w:t>
            </w: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20"/>
              <w:spacing w:after="0" w:line="207" w:lineRule="exact"/>
              <w:rPr>
                <w:sz w:val="20"/>
                <w:szCs w:val="20"/>
                <w:color w:val="auto"/>
              </w:rPr>
            </w:pPr>
            <w:r>
              <w:rPr>
                <w:rFonts w:ascii="Times New Roman" w:cs="Times New Roman" w:eastAsia="Times New Roman" w:hAnsi="Times New Roman"/>
                <w:sz w:val="18"/>
                <w:szCs w:val="18"/>
                <w:color w:val="auto"/>
                <w:w w:val="73"/>
              </w:rPr>
              <w:t> </w:t>
            </w:r>
            <w:r>
              <w:rPr>
                <w:rFonts w:ascii="MS PGothic" w:cs="MS PGothic" w:eastAsia="MS PGothic" w:hAnsi="MS PGothic"/>
                <w:sz w:val="18"/>
                <w:szCs w:val="18"/>
                <w:color w:val="auto"/>
                <w:w w:val="73"/>
              </w:rPr>
              <w:t>☐</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20" w:type="dxa"/>
            <w:vAlign w:val="bottom"/>
          </w:tcPr>
          <w:p>
            <w:pPr>
              <w:jc w:val="center"/>
              <w:ind w:left="530"/>
              <w:spacing w:after="0" w:line="181" w:lineRule="exact"/>
              <w:rPr>
                <w:sz w:val="20"/>
                <w:szCs w:val="20"/>
                <w:color w:val="auto"/>
              </w:rPr>
            </w:pPr>
            <w:r>
              <w:rPr>
                <w:rFonts w:ascii="MS PGothic" w:cs="MS PGothic" w:eastAsia="MS PGothic" w:hAnsi="MS PGothic"/>
                <w:sz w:val="18"/>
                <w:szCs w:val="18"/>
                <w:color w:val="auto"/>
                <w:w w:val="88"/>
              </w:rPr>
              <w:t>☒</w:t>
            </w: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0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20"/>
              <w:spacing w:after="0" w:line="207" w:lineRule="exact"/>
              <w:rPr>
                <w:sz w:val="20"/>
                <w:szCs w:val="20"/>
                <w:color w:val="auto"/>
              </w:rPr>
            </w:pPr>
            <w:r>
              <w:rPr>
                <w:rFonts w:ascii="Times New Roman" w:cs="Times New Roman" w:eastAsia="Times New Roman" w:hAnsi="Times New Roman"/>
                <w:sz w:val="18"/>
                <w:szCs w:val="18"/>
                <w:color w:val="auto"/>
                <w:w w:val="73"/>
              </w:rPr>
              <w:t> </w:t>
            </w:r>
            <w:r>
              <w:rPr>
                <w:rFonts w:ascii="MS PGothic" w:cs="MS PGothic" w:eastAsia="MS PGothic" w:hAnsi="MS PGothic"/>
                <w:sz w:val="18"/>
                <w:szCs w:val="18"/>
                <w:color w:val="auto"/>
                <w:w w:val="73"/>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CALCULATION OF REGISTRATION FEE</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b w:val="1"/>
          <w:bCs w:val="1"/>
          <w:color w:val="auto"/>
        </w:rPr>
        <w:t>Title of Each Class of Securities</w:t>
      </w:r>
    </w:p>
    <w:p>
      <w:pPr>
        <w:spacing w:after="0" w:line="31"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b w:val="1"/>
          <w:bCs w:val="1"/>
          <w:color w:val="auto"/>
        </w:rPr>
        <w:t>to be Registered</w:t>
      </w:r>
    </w:p>
    <w:p>
      <w:pPr>
        <w:spacing w:after="0" w:line="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Common Stock, $0.0001 par value share, held by selling stockholders</w:t>
      </w:r>
    </w:p>
    <w:p>
      <w:pPr>
        <w:ind w:right="20"/>
        <w:spacing w:after="0" w:line="253" w:lineRule="auto"/>
        <w:rPr>
          <w:sz w:val="20"/>
          <w:szCs w:val="20"/>
          <w:color w:val="auto"/>
        </w:rPr>
      </w:pPr>
      <w:r>
        <w:rPr>
          <w:rFonts w:ascii="Times New Roman" w:cs="Times New Roman" w:eastAsia="Times New Roman" w:hAnsi="Times New Roman"/>
          <w:sz w:val="18"/>
          <w:szCs w:val="18"/>
          <w:color w:val="auto"/>
        </w:rPr>
        <w:t>Common Stock, $0.0001 par value per share, underlying warrants held by selling stockholders</w:t>
      </w: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00" w:type="dxa"/>
            <w:vAlign w:val="bottom"/>
          </w:tcPr>
          <w:p>
            <w:pPr>
              <w:spacing w:after="0"/>
              <w:rPr>
                <w:sz w:val="18"/>
                <w:szCs w:val="18"/>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70"/>
        </w:trPr>
        <w:tc>
          <w:tcPr>
            <w:tcW w:w="146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Registered</w:t>
            </w:r>
            <w:r>
              <w:rPr>
                <w:rFonts w:ascii="Times New Roman" w:cs="Times New Roman" w:eastAsia="Times New Roman" w:hAnsi="Times New Roman"/>
                <w:sz w:val="29"/>
                <w:szCs w:val="29"/>
                <w:b w:val="1"/>
                <w:bCs w:val="1"/>
                <w:color w:val="auto"/>
                <w:w w:val="95"/>
                <w:vertAlign w:val="superscript"/>
              </w:rPr>
              <w:t>(1)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Registration Fee</w:t>
            </w:r>
          </w:p>
        </w:tc>
        <w:tc>
          <w:tcPr>
            <w:tcW w:w="1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358"/>
        </w:trPr>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7,952,334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18,687,984.90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1,732.38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8"/>
        </w:trPr>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7,856,766</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18,463,400.10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1,711.56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4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w w:val="91"/>
              </w:rPr>
              <w:t>(4)</w:t>
            </w:r>
          </w:p>
        </w:tc>
        <w:tc>
          <w:tcPr>
            <w:tcW w:w="0" w:type="dxa"/>
            <w:vAlign w:val="bottom"/>
          </w:tcPr>
          <w:p>
            <w:pPr>
              <w:spacing w:after="0"/>
              <w:rPr>
                <w:sz w:val="1"/>
                <w:szCs w:val="1"/>
                <w:color w:val="auto"/>
              </w:rPr>
            </w:pPr>
          </w:p>
        </w:tc>
      </w:tr>
      <w:tr>
        <w:trPr>
          <w:trHeight w:val="21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15,809,100</w:t>
            </w:r>
          </w:p>
        </w:tc>
        <w:tc>
          <w:tcPr>
            <w:tcW w:w="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37,151,385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3,443.93</w:t>
            </w:r>
          </w:p>
        </w:tc>
        <w:tc>
          <w:tcPr>
            <w:tcW w:w="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-170815</wp:posOffset>
            </wp:positionV>
            <wp:extent cx="71323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-728345</wp:posOffset>
            </wp:positionV>
            <wp:extent cx="7132320"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100" w:space="260"/>
            <w:col w:w="6880"/>
          </w:cols>
          <w:pgMar w:left="320" w:top="792" w:right="339" w:bottom="1440" w:gutter="0" w:footer="0" w:header="0"/>
          <w:type w:val="continuous"/>
        </w:sectPr>
      </w:pPr>
    </w:p>
    <w:p>
      <w:pPr>
        <w:jc w:val="both"/>
        <w:ind w:left="380" w:hanging="372"/>
        <w:spacing w:after="0" w:line="266"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split, stock dividend, or similar transaction involving our common stock, the number of shares registered shall automatically be increased to cover the additional shares of common stock issuable pursuant to Rule 416 under the Securities Act of 1933, as amended (“Securities Act”).</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Rule 457(c) under the Securities Act. Shares of the registrant’s common stock are eligible for trading on the over-the-counter market. The maximum price per share is based on the average of the $2.49 (high) and $2.20 (low) sale price of the registrant’s common stock as reported on the over-the-counter market on May 20, 2022.</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Rule 457(c) under the Securities Act. The maximum price per share is based on the average of the $2.49 (high) and $2.20 (low) sale price of the registrant’s common stock as reported on the over-the-counter market on May 20, 2022.</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$7,583.27 previously paid.</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The selling stockholders may not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May___,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PRELIMINARY PROSPECTUS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COEPTIS THERAPEUTICS,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15,809,100 Shares of</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solely to the resale of up to an aggregate of 15,809,100 shares of our common stock, par value $0.0001 per share (“common stock”), by the selling stockholders identified in this prospectus. The selling stockholders acquired the shares of common stock offered by this prospectus from us in private placement transactions in reliance on exemptions from registration under the Securities Act of 1933, as amended (the “Securities Act”) as more fully described herein. We are registering the resale of these shares of common stock by the selling stockholders to satisfy registration rights we have granted to the selling stockholders.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may offer to sell the shares of common stock being offered in this prospectus at fixed prices, at prevailing market prices at the time of sale, at varying prices, at negotiated prices or through other means described in the section entitled “</w:t>
      </w:r>
      <w:r>
        <w:rPr>
          <w:rFonts w:ascii="Times New Roman" w:cs="Times New Roman" w:eastAsia="Times New Roman" w:hAnsi="Times New Roman"/>
          <w:sz w:val="18"/>
          <w:szCs w:val="18"/>
          <w:u w:val="single" w:color="auto"/>
          <w:color w:val="0000EE"/>
        </w:rPr>
        <w:t>Plan of Distribution</w:t>
      </w:r>
      <w:r>
        <w:rPr>
          <w:rFonts w:ascii="Times New Roman" w:cs="Times New Roman" w:eastAsia="Times New Roman" w:hAnsi="Times New Roman"/>
          <w:sz w:val="18"/>
          <w:szCs w:val="18"/>
          <w:color w:val="auto"/>
        </w:rPr>
        <w:t>.” We do not know when or in what amount the selling stockholders may offer these shares of common stock for sale. The selling stockholders may sell some, all or none of the shares of common stock offered by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will receive all proceeds from the sale of the shares of common stock hereunder, and we will not receive any of the proceeds from their sale of the shares of common stock hereunder. We have agreed to pay all expenses relating to registering the shares of common stock being offered in this prospectus. The selling stockholders will pay any brokerage commissions and/or similar charges incurred by them for the sale of the shares of common stock being offered in this prospectus.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currently a limited public trading market for our common stock. Because all of the shares of common stock being offered in this prospectus are being offered by the selling stockholders, we cannot currently determine the price or prices at which these shares may be sold.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OTC-Pink tier of the electronic over-the-counter marketplace operated by OTC Markets Group, Inc. under the symbol “COEP”. On May 20, 2022, the last reported sales price for our common stock was $2.49 per share.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under applicable Securities and Exchange Commission (the “SEC”) rules and will be eligible for reduced public company reporting requirements. See “Summary—We are a Smaller Reporting Company.”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6 for a discussion of certain risk factors that you should consider before investing in our common stock.</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other regulatory body has passed upon the adequacy or accuracy of this prospectus.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-5080</wp:posOffset>
            </wp:positionV>
            <wp:extent cx="457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0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CERTAIN IMPORTANT INFORMATION</w:t>
            </w:r>
          </w:p>
        </w:tc>
        <w:tc>
          <w:tcPr>
            <w:tcW w:w="6880" w:type="dxa"/>
            <w:vAlign w:val="bottom"/>
            <w:tcBorders>
              <w:bottom w:val="single" w:sz="8" w:color="CCEEFF"/>
            </w:tcBorders>
            <w:gridSpan w:val="9"/>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0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12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740" w:type="dxa"/>
            <w:vAlign w:val="bottom"/>
            <w:tcBorders>
              <w:bottom w:val="single" w:sz="8" w:color="CCEEFF"/>
            </w:tcBorders>
            <w:gridSpan w:val="17"/>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12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2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2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6760" w:type="dxa"/>
            <w:vAlign w:val="bottom"/>
            <w:tcBorders>
              <w:bottom w:val="single" w:sz="8" w:color="CCEEFF"/>
            </w:tcBorders>
            <w:gridSpan w:val="7"/>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MARKET FOR THE SECURITIES</w:t>
            </w:r>
          </w:p>
        </w:tc>
        <w:tc>
          <w:tcPr>
            <w:tcW w:w="12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12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2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140" w:type="dxa"/>
            <w:vAlign w:val="bottom"/>
            <w:tcBorders>
              <w:bottom w:val="single" w:sz="8" w:color="CCEEFF"/>
            </w:tcBorders>
            <w:gridSpan w:val="19"/>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0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2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12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0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PRINCIPAL STOCKHOLDERS AND MANAGEMENT</w:t>
            </w:r>
          </w:p>
        </w:tc>
        <w:tc>
          <w:tcPr>
            <w:tcW w:w="12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7780" w:type="dxa"/>
            <w:vAlign w:val="bottom"/>
            <w:tcBorders>
              <w:bottom w:val="single" w:sz="8" w:color="CCEEFF"/>
            </w:tcBorders>
            <w:gridSpan w:val="12"/>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2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120" w:type="dxa"/>
            <w:vAlign w:val="bottom"/>
            <w:tcBorders>
              <w:bottom w:val="single" w:sz="8" w:color="CCEEFF"/>
            </w:tcBorders>
            <w:gridSpan w:val="10"/>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0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12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CONSEQUENCES TO NON-U.S. HOLDERS</w:t>
            </w:r>
          </w:p>
        </w:tc>
        <w:tc>
          <w:tcPr>
            <w:tcW w:w="12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72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280" w:type="dxa"/>
            <w:vAlign w:val="bottom"/>
            <w:tcBorders>
              <w:top w:val="single" w:sz="8" w:color="CCEEFF"/>
            </w:tcBorders>
            <w:gridSpan w:val="2"/>
          </w:tcPr>
          <w:p>
            <w:pPr>
              <w:spacing w:after="0"/>
              <w:rPr>
                <w:sz w:val="15"/>
                <w:szCs w:val="15"/>
                <w:color w:val="auto"/>
              </w:rPr>
            </w:pPr>
          </w:p>
        </w:tc>
        <w:tc>
          <w:tcPr>
            <w:tcW w:w="12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2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540" w:type="dxa"/>
            <w:vAlign w:val="bottom"/>
            <w:tcBorders>
              <w:top w:val="single" w:sz="8" w:color="CCEEFF"/>
            </w:tcBorders>
            <w:gridSpan w:val="15"/>
          </w:tcPr>
          <w:p>
            <w:pPr>
              <w:spacing w:after="0"/>
              <w:rPr>
                <w:sz w:val="15"/>
                <w:szCs w:val="15"/>
                <w:color w:val="auto"/>
              </w:rPr>
            </w:pPr>
          </w:p>
        </w:tc>
        <w:tc>
          <w:tcPr>
            <w:tcW w:w="12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2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have not, and the selling stockholders have not, authorized anyone to provide you with different information. If anyone provides you with different information, you should not rely on it. We are not, and the selling stockholders are not, making an offer to sell these securities in any jurisdiction where the offer or sale is not permitted. You should assume that the information contained in this prospectus is accurate only as of the date on the front cover of this prospectus. Neither the delivery of this prospectus nor any sale made in connection with this prospectus shall, under any circumstances, create any implication that there has been no change in our affairs since the date of this prospectus or that the information contained in this prospectus is correct as of any time after its date. Information contained on our website, or any other website operated by us, is not part of this prospectus.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We have not, and the selling stockholders have not, done anything that would permit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CERTAIN IMPORTANT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or have rights to use the trademarks and trade names that we use in conjunction with the operation of our business. Each trademark or trade name of any other company appearing in this prospectus is, to our knowledge, owned by such other company. Solely for convenience, our trademarks and trade names referred to in this prospectus may appear without the ® or ™ symbols, but those references are not intended to indicate, in any way, that we will not assert, to the fullest extent under applicable law, our rights or the right of the applicable licensor to these trademarks and trade names.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Coeptis Pharmaceuticals, LLC (LLC) was formed on July 12, 2017 as a Pennsylvania multi-member limited liability company. On December 1, 2018, the members of LLC contributed their interest to a newly formed corporation, Coeptis Pharmaceuticals, Inc (“Coeptis”). As of December 1, 2018, the LLC became a disregarded single-member limited liability company which is wholly owned by the newly formed corporation. On February 12, 2021, Coeptis Acquisition Sub, Inc. (“Acquisition Corp.”), a wholly-owned subsidiary of Vinings Holdings, Inc., a Delaware corporation (“Vinings”), merged (the “Merger”) with and into Coeptis Pharmaceuticals, Inc. a Delaware corporation (“Coeptis”). Coeptis was the surviving corporation of that Merger. As a result of the Merger, Vinings acquired the business of Coeptis and continues the existing business operations of Coeptis as a wholly-owned subsidiary. On July 12, 2021, the Company legally changed its name from Vinings Holdings, Inc. to Coeptis Therapeutics, Inc. The Merger was treated as a recapitalization of the Company for financial accounting purposes. The historical financial statements of Vinings before the Merger have been replaced with the historical financial statements of Coeptis before the Merger in all future filings with the Securities and Exchange Commission (the “SEC”). The Company is located in Wexford, PA, and engages primarily in the acquisition, development, and commercialization of pharmaceutical products.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used in this Current Report, the terms the “Company”, “we,” “us,” and “our” refer to Coeptis Therapeutics, Inc. and its wholly-owned subsidiary Coeptis, after giving effect to the Merger, unless otherwise stated or the context clearly indicates otherwise. The term “Predecessor” refers to Vinings Holdings, Inc., before giving effect to the Merger; and the term “Coeptis” refers to Coeptis Pharmaceuticals, Inc., before giving effect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292100</wp:posOffset>
            </wp:positionH>
            <wp:positionV relativeFrom="page">
              <wp:posOffset>395605</wp:posOffset>
            </wp:positionV>
            <wp:extent cx="6964680" cy="7316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4680" cy="7316470"/>
                    </a:xfrm>
                    <a:prstGeom prst="rect">
                      <a:avLst/>
                    </a:prstGeom>
                    <a:noFill/>
                  </pic:spPr>
                </pic:pic>
              </a:graphicData>
            </a:graphic>
          </wp:anchor>
        </w:drawing>
        <w:t>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but it does not contain all of the information that you may consider important in making your investment decision. Therefore, you should carefully read the entire prospectus carefully, including, in particular, the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auto"/>
        </w:rPr>
        <w:t>” section beginning on page 6 of this prospectus, the “</w:t>
      </w:r>
      <w:r>
        <w:rPr>
          <w:rFonts w:ascii="Times New Roman" w:cs="Times New Roman" w:eastAsia="Times New Roman" w:hAnsi="Times New Roman"/>
          <w:sz w:val="18"/>
          <w:szCs w:val="18"/>
          <w:i w:val="1"/>
          <w:iCs w:val="1"/>
          <w:u w:val="single" w:color="auto"/>
          <w:color w:val="0000EE"/>
        </w:rPr>
        <w:t>Management’s Discussion and Analysis of Financial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EE"/>
        </w:rPr>
        <w:t>and Results of Operations</w:t>
      </w:r>
      <w:r>
        <w:rPr>
          <w:rFonts w:ascii="Times New Roman" w:cs="Times New Roman" w:eastAsia="Times New Roman" w:hAnsi="Times New Roman"/>
          <w:sz w:val="18"/>
          <w:szCs w:val="18"/>
          <w:i w:val="1"/>
          <w:iCs w:val="1"/>
          <w:color w:val="000000"/>
        </w:rPr>
        <w:t>” section beginning on page 23 and the consolidated financial statements and related notes included elsewhere in this</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prospectus before making an investment decision.</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this prospectus, unless the context otherwise requires, the terms the “Company”, “we,” “us,” and “our” refer to Coeptis Therapeutics, Inc. and its wholly-owned subsidiary Coeptis, after giving effect to the Merger.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originally incorporated in the State of Colorado in 1996 under the name Nelx Marketing Inc., and then changed our name to Mind 2 Market, Inc. (1996), then to Health Partnership, Inc. (2005), then to Naerodynamics, Inc. (2008). In January 2020, our company redomiciled to the State of Delaware and changed corporate name to NDYN Merger Corp. In February 2020, NDYN Merger Corp. enacted a Holding Company Reorganization pursuant to Section 251(g) of the Delaware General Corporation Law and, in connection therewith, changed our corporate name to Vinings Holdings, Inc. Effective July 12, 2021, our corporate name changed to “Coeptis Therapeutics, Inc.” and our trading symbol changed to “COEP.”</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Reverse Merger Transaction</w:t>
      </w:r>
      <w:r>
        <w:rPr>
          <w:rFonts w:ascii="Times New Roman" w:cs="Times New Roman" w:eastAsia="Times New Roman" w:hAnsi="Times New Roman"/>
          <w:sz w:val="18"/>
          <w:szCs w:val="18"/>
          <w:color w:val="auto"/>
        </w:rPr>
        <w:t>. On February 12, 2021, Coeptis Acquisition Sub, Inc. (“Acquisition Corp.”), a wholly-owned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 merged (the “2021 Merger”) with and into Coeptis Pharmaceuticals, Inc., a Delaware corporation (“Acquired Coeptis”). Acquired Coeptis was the surviving corporation of the 2021 Merger. As a result of the 2021 Merger, our company acquired the business of Acquired Coeptis and now continues the existing business operations of Acquired Coeptis as a wholly-owned subsidiary. Simultaneously with the closing of the 2021 Merger, all of the issued and outstanding shares of Acquired Coeptis common stock converted, on a 1-for-1 basis, into shares of our company’s common stock. As of the closing of the 2021 Merger, there were no Acquired Coeptis options or warrants outstanding to purchase shares of Acquired Coeptis common stock. (See “</w:t>
      </w:r>
      <w:r>
        <w:rPr>
          <w:rFonts w:ascii="Times New Roman" w:cs="Times New Roman" w:eastAsia="Times New Roman" w:hAnsi="Times New Roman"/>
          <w:sz w:val="18"/>
          <w:szCs w:val="18"/>
          <w:u w:val="single" w:color="auto"/>
          <w:color w:val="0000EE"/>
        </w:rPr>
        <w:t>Business</w:t>
      </w:r>
      <w:r>
        <w:rPr>
          <w:rFonts w:ascii="Times New Roman" w:cs="Times New Roman" w:eastAsia="Times New Roman" w:hAnsi="Times New Roman"/>
          <w:sz w:val="18"/>
          <w:szCs w:val="18"/>
          <w:color w:val="auto"/>
        </w:rPr>
        <w:t>—History—Reverse Merger Transaction”).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2021 Merger, Predecessor was a “shell company,” as defined in Rule 12b-2 of the Securities Exchange Act of 1934. Descriptions of our business in this prospectus relate to the historical business operations of Acquired Coeptis, unless the context requires otherwise.</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Current Status</w:t>
      </w:r>
      <w:r>
        <w:rPr>
          <w:rFonts w:ascii="Times New Roman" w:cs="Times New Roman" w:eastAsia="Times New Roman" w:hAnsi="Times New Roman"/>
          <w:sz w:val="18"/>
          <w:szCs w:val="18"/>
          <w:color w:val="auto"/>
        </w:rPr>
        <w:t>. Coeptis Pharmaceuticals, Inc. was formed in November 2018, and its sole subsidiary, Coeptis Pharmaceuticals, LLC, was formed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2017. Through our subsidiaries, we focus on the development and/or acquisition of pharmaceutical products and technologies which offer improvements to current therapies, thereby improving patient outcomes.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Current Business</w:t>
      </w:r>
      <w:r>
        <w:rPr>
          <w:rFonts w:ascii="Times New Roman" w:cs="Times New Roman" w:eastAsia="Times New Roman" w:hAnsi="Times New Roman"/>
          <w:sz w:val="18"/>
          <w:szCs w:val="18"/>
          <w:color w:val="auto"/>
        </w:rPr>
        <w:t>. As described in greater detail elsewhere in this prospectus, during 2021 we revamped our corporate strategy and exited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lines that were commercialization-focused and took on through strategic transactions product focuses that will rely on our research and development expertise. As such, our current business model is designed around furthering the development of our current product portfolio. We are continually exploring partnership opportunities with companies that have novel therapies in various stages of development or companies with technologies that improve the way that drugs are delivered to patients. We will continue to seek the best strategic relationships for our portfolio, which relationships could include in-license agreements, out-license agreements, co-development arrangements and other strategic partnerships in new and exciting therapeutic areas such as auto-immune disease and oncology.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Prospective Bull Horn Merger</w:t>
      </w:r>
      <w:r>
        <w:rPr>
          <w:rFonts w:ascii="Times New Roman" w:cs="Times New Roman" w:eastAsia="Times New Roman" w:hAnsi="Times New Roman"/>
          <w:sz w:val="18"/>
          <w:szCs w:val="18"/>
          <w:color w:val="auto"/>
        </w:rPr>
        <w:t>. We recently entered into a merger agreement (the “Bull Horn Merger Agreement”) with Bull Horn Holdings Corp.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(“Bull Horn”), a NASDAQ-listed BVI entity, and its wholly-owned subsidiary BH Merger Sub, Inc. regarding a potential merger of the Company with BH Merger Sub, Inc. pursuant to which, if closed, we would become a wholly-owned subsidiary of Blue Horn (the “Bull Horn Merger”) (See “Business—Bull Horn Merger” for details regarding the Bull Horn Merger Agreement and the related transactions). The potential Bull Horn Merger and related Bull Horn Merger Agreement is also summarized in our Current Report on Form 8-K dated April 19, 2022, and the Bull Horn Merger Agreement is attached at Exhibit 4.1 thereto. As discussed elsewhere in this prospectus, there is no guarantee that the Bull Horn Merger is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968" w:right="6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292100</wp:posOffset>
            </wp:positionH>
            <wp:positionV relativeFrom="page">
              <wp:posOffset>395605</wp:posOffset>
            </wp:positionV>
            <wp:extent cx="6964680" cy="5670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4680" cy="5670550"/>
                    </a:xfrm>
                    <a:prstGeom prst="rect">
                      <a:avLst/>
                    </a:prstGeom>
                    <a:noFill/>
                  </pic:spPr>
                </pic:pic>
              </a:graphicData>
            </a:graphic>
          </wp:anchor>
        </w:drawing>
        <w:t>Recent Issuances of Common Stock and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Private Placement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17, 2021, we completed a private placement (the “2021 Private Placement”), in which we sold 5,827,324 shares of our common stock in reliance on an exemption from registration under the Securities Act. The gross proceeds from the 2021 Private Placement were approximately $8.7 million, which we used for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Reg A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December 6, 2021, we launched an offering of our common stock pursuant to Tier 2 of Regulation A promulgated by the SEC under the Securities Act of 1933, as amended, pursuant to which we are seeking to sell up to 3,000,000 shares of our common stock a price per share of $3.00. Through May 20, 2022, we have sold 625,499 shares of common stock in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23, 2020, the Company issued a Class A and a Class B warrant to Coral Investment Partners, LP, with each warrant granting the right to purchase 500,000 shares of common stock at a price of $2 per share under the Class A warrant and the right to purchase 500,000 shares of common stock at a price of $5 per share under the Class B warrant. The warrants expire on November 30, 2023. The warrants also contain a conditional cashless exercise provision and anti-dilution provisions. The shares being registered under the Class A warrant and Class B warrant are being registered for resale under this prospectus.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28, 2021, the Company issued a warrant to a third party in exchange for professional services, granting the warrant holder the right to purchase 500,000 shares of common stock at a price of $1 per share, 500,000 shares at $2 per share, and 500,000 at $5 per share. The warrants expire on June 1, 2026. All warrants were outstanding on September 30, 2021. The shares issuable under the Class A warrant and Class B warrant are being registered for resale under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30, 2021, the Company issued a warrant to a third party in exchange for professional services, granting the warrant holder the right to purchase 200,000 shares of common stock at a price of $1 per share, 100,000 shares at $2 per share, and 100,000 at $5 per share. The warrants expire on July 26, 2026. All warrants were outstanding on September 30, 2021. The shares issuable under the Class A warrant and Class B warrant are being registered for resale under this prospectus.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22, 2021, the Company issued a warrant in conjunction with the termination of a license right with Purple Biotech, Ltd., granting Purple Biotech the right to purchase 300,000 shares of common stock at $5 per share, subject to certain adjustments.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November 2021 and April 2022, the Company issued warrants in exchange for professional services, granting the warrant holders the right to purchase (subject to vesting in certain cases) in the aggregate up to 5,190,100 shares at an average exercise price of approximately $1.50 per share. The shares issuable under these warrants are being registered for resale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968" w:right="6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292100</wp:posOffset>
            </wp:positionH>
            <wp:positionV relativeFrom="page">
              <wp:posOffset>395605</wp:posOffset>
            </wp:positionV>
            <wp:extent cx="6964680" cy="8156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4680" cy="8156575"/>
                    </a:xfrm>
                    <a:prstGeom prst="rect">
                      <a:avLst/>
                    </a:prstGeom>
                    <a:noFill/>
                  </pic:spPr>
                </pic:pic>
              </a:graphicData>
            </a:graphic>
          </wp:anchor>
        </w:drawing>
        <w:t>Risks Associated with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risks described in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beginning on page 6 before making a decision to invest in our common stock. If any of these risks actually occurs, our business, financial condition, results of operations and prospects would likely be materially, adversely affected. In that event, the trading price of our common stock could decline, and you could lose part or all of your investment. Below is a summary of some of the principal risks we face:</w:t>
      </w:r>
    </w:p>
    <w:p>
      <w:pPr>
        <w:spacing w:after="0" w:line="180" w:lineRule="exact"/>
        <w:rPr>
          <w:sz w:val="20"/>
          <w:szCs w:val="20"/>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Bull Horn Merger is consummated, there is no assurance that we will achieve the intended benefits of the Bull Horn Merger;</w:t>
      </w:r>
    </w:p>
    <w:p>
      <w:pPr>
        <w:spacing w:after="0" w:line="27"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from the pandemic involving the novel coronavirus known as COVID-19;</w:t>
      </w:r>
    </w:p>
    <w:p>
      <w:pPr>
        <w:spacing w:after="0" w:line="9"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damage to or interruption of our information technology systems due to cyber-attacks or other circumstances beyond our control;</w:t>
      </w: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geographical actions, including war and terrorism;</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our anticipated growth, or we may not grow at all;</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we expect to incur losses in the future and we may not be able to achieve or maintain profitability;</w:t>
      </w:r>
    </w:p>
    <w:p>
      <w:pPr>
        <w:spacing w:after="0" w:line="9"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initiate and complete preclinical studies and clinical trials for our product candidates which could adversely affect our business;</w:t>
      </w:r>
    </w:p>
    <w:p>
      <w:pPr>
        <w:ind w:left="660" w:right="20" w:hanging="331"/>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the third-party relationships that are necessary to develop, commercialize and manufacture some or all of our product candidates;</w:t>
      </w: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adversely affect our operations;</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obtain financing in order to continue our operations;</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development and approval process is uncertain, time-consuming and expensive;</w:t>
      </w:r>
    </w:p>
    <w:p>
      <w:pPr>
        <w:spacing w:after="0" w:line="9"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biotechnology and pharmaceutical industries may result in competing products, superior marketing of other products and lower revenues or profits for us;</w:t>
      </w:r>
    </w:p>
    <w:p>
      <w:pPr>
        <w:ind w:left="660" w:right="20" w:hanging="331"/>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or regulations on drug importation could make lower cost versions of our future products available, which could adversely affect our revenues, if any;</w:t>
      </w: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is costly and lengthy, and we may not be able to successfully obtain all required regulatory approvals;</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measures could adversely affect our business;</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defending against intellectual property claims may have a material adverse effect on our business;</w:t>
      </w:r>
    </w:p>
    <w:p>
      <w:pPr>
        <w:spacing w:after="0" w:line="9" w:lineRule="exact"/>
        <w:rPr>
          <w:rFonts w:ascii="Times New Roman" w:cs="Times New Roman" w:eastAsia="Times New Roman" w:hAnsi="Times New Roman"/>
          <w:sz w:val="18"/>
          <w:szCs w:val="18"/>
          <w:color w:val="auto"/>
        </w:rPr>
      </w:pPr>
    </w:p>
    <w:p>
      <w:pPr>
        <w:ind w:left="660" w:right="20" w:hanging="331"/>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retain our current senior management team and our scientific advisors or continue to attract and retain qualified scientific, technical and business personnel, our business will suffer;</w:t>
      </w: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substantial doubt about our ability to continue as a going concern; and</w:t>
      </w:r>
    </w:p>
    <w:p>
      <w:pPr>
        <w:spacing w:after="0" w:line="9"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identified in this prospectus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105 Bradford Rd., Suite 420, Wexford, PA 15090, (724) 934-6467. Our website is available at </w:t>
      </w:r>
      <w:r>
        <w:rPr>
          <w:rFonts w:ascii="Times New Roman" w:cs="Times New Roman" w:eastAsia="Times New Roman" w:hAnsi="Times New Roman"/>
          <w:sz w:val="18"/>
          <w:szCs w:val="18"/>
          <w:i w:val="1"/>
          <w:iCs w:val="1"/>
          <w:color w:val="auto"/>
        </w:rPr>
        <w:t>https://www.coeptistx.com</w:t>
      </w:r>
      <w:r>
        <w:rPr>
          <w:rFonts w:ascii="Times New Roman" w:cs="Times New Roman" w:eastAsia="Times New Roman" w:hAnsi="Times New Roman"/>
          <w:sz w:val="18"/>
          <w:szCs w:val="18"/>
          <w:color w:val="auto"/>
        </w:rPr>
        <w:t>. Information on our website or any other website is not incorporated by reference herein and does not constitute a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 but are not limited to:</w:t>
      </w:r>
    </w:p>
    <w:p>
      <w:pPr>
        <w:spacing w:after="0" w:line="176" w:lineRule="exact"/>
        <w:rPr>
          <w:sz w:val="20"/>
          <w:szCs w:val="20"/>
          <w:color w:val="auto"/>
        </w:rPr>
      </w:pPr>
    </w:p>
    <w:p>
      <w:pPr>
        <w:jc w:val="both"/>
        <w:ind w:left="220" w:firstLine="649"/>
        <w:spacing w:after="0" w:line="266" w:lineRule="auto"/>
        <w:tabs>
          <w:tab w:leader="none" w:pos="132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only two years of audited financial statements in addition to any required unaudited interim financial statements with correspondingly reduced “Management’s discussion and analysis of financial condition and results of operations” in our Securities Act of 1933, as amended, or the Securities Act, filings;</w:t>
      </w:r>
    </w:p>
    <w:p>
      <w:pPr>
        <w:spacing w:after="0" w:line="175" w:lineRule="exact"/>
        <w:rPr>
          <w:rFonts w:ascii="Times New Roman" w:cs="Times New Roman" w:eastAsia="Times New Roman" w:hAnsi="Times New Roman"/>
          <w:sz w:val="18"/>
          <w:szCs w:val="18"/>
          <w:color w:val="auto"/>
        </w:rPr>
      </w:pPr>
    </w:p>
    <w:p>
      <w:pPr>
        <w:ind w:left="1280" w:hanging="411"/>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5" w:lineRule="exact"/>
        <w:rPr>
          <w:rFonts w:ascii="Times New Roman" w:cs="Times New Roman" w:eastAsia="Times New Roman" w:hAnsi="Times New Roman"/>
          <w:sz w:val="18"/>
          <w:szCs w:val="18"/>
          <w:color w:val="auto"/>
        </w:rPr>
      </w:pPr>
    </w:p>
    <w:p>
      <w:pPr>
        <w:ind w:left="1220" w:hanging="35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non-binding advisory votes on executive compensation or golden parachute arrangements; and</w:t>
      </w:r>
    </w:p>
    <w:p>
      <w:pPr>
        <w:spacing w:after="0" w:line="225" w:lineRule="exact"/>
        <w:rPr>
          <w:rFonts w:ascii="Times New Roman" w:cs="Times New Roman" w:eastAsia="Times New Roman" w:hAnsi="Times New Roman"/>
          <w:sz w:val="18"/>
          <w:szCs w:val="18"/>
          <w:color w:val="auto"/>
        </w:rPr>
      </w:pPr>
    </w:p>
    <w:p>
      <w:pPr>
        <w:ind w:left="220" w:firstLine="649"/>
        <w:spacing w:after="0" w:line="282" w:lineRule="auto"/>
        <w:tabs>
          <w:tab w:leader="none" w:pos="14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auditor attestation requirement in the assessment of our internal control over financial reporting pursuant to Section 404(b) of the Sarbanes Oxley Act of 2002, or SOX.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968" w:right="61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292100</wp:posOffset>
            </wp:positionH>
            <wp:positionV relativeFrom="page">
              <wp:posOffset>395605</wp:posOffset>
            </wp:positionV>
            <wp:extent cx="6964680" cy="6219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4680" cy="6219190"/>
                    </a:xfrm>
                    <a:prstGeom prst="rect">
                      <a:avLst/>
                    </a:prstGeom>
                    <a:noFill/>
                  </pic:spPr>
                </pic:pic>
              </a:graphicData>
            </a:graphic>
          </wp:anchor>
        </w:drawing>
        <w:t>We may take advantage of these exemptions for up to five years or such earlier time that we are no longer an “emerging growth company.” We will continue to remain an “emerging growth company” until the earliest of the following: (i) the last day of the fiscal year following the fifth anniversary of the date of the completion of this offering; (ii) the last day of the fiscal year in which our total annual gross revenue is equal to or more than $1.07 billion; (iii) the date on which we have issued more than $1 billion in nonconvertible debt during the previous three years; or (iv) the date on which we are deemed to be a large accelerated filer under the rules of the Securities and Exchange Commission, or the SEC.</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or the Exchange Act, and have elected to take advantage of certain of the scaled disclosures available to smaller reporting companies. To the extent that we continue to qualify as a “smaller reporting company” as such term is defined in Rule 12b-2 under the Exchange Act, after we cease to qualify as an emerging growth company, certain of the exemptions available to us as an “emerging growth company” may continue to be available to us as a “smaller reporting company,” including exemption from compliance with the auditor attestation requirements pursuant to SOX and reduced disclosure about our executive compensation arrangements. We will continue to be a “smaller reporting company” until we have $250 million or more in public float (based on our common stock) measured as of the last business day of our most recently completed second fiscal quarter or, in the event we have no public float (based on our common stock) or a public float (based on our common stock) that is less than $700 million, annual revenues of $100 million or more during the most recently completed fiscal year.</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In addition, the JOBS Act provides that an emerging growth company may take advantage of an extended transition period for complying with new or revised accounting standards, delaying the adoption of these accounting standards until they would apply to private companies. We have elected to avail ourselves of the extended transition period for complying with new or revised financial accounting standards.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600" w:top="972" w:right="6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628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Offered by the Selling Stockholders</w:t>
            </w: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A total of up to 15,809,100 shares of our common stock. The selling</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stockholders may from time to time sell some, all or none of the shares</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of common stock pursuant to the registration statement of which this</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prospectus is a part.</w:t>
            </w:r>
          </w:p>
        </w:tc>
        <w:tc>
          <w:tcPr>
            <w:tcW w:w="0" w:type="dxa"/>
            <w:vAlign w:val="bottom"/>
          </w:tcPr>
          <w:p>
            <w:pPr>
              <w:spacing w:after="0"/>
              <w:rPr>
                <w:sz w:val="1"/>
                <w:szCs w:val="1"/>
                <w:color w:val="auto"/>
              </w:rPr>
            </w:pP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of Common Stock Outstanding</w:t>
            </w: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38,987,897 as of May 20, 2022, excluding shares of common stock</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issuable upon conversion of convertible securities (including the Class</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B Preferred Stock) and exercisable securities (including the outstanding</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warrants).</w:t>
            </w:r>
          </w:p>
        </w:tc>
        <w:tc>
          <w:tcPr>
            <w:tcW w:w="0" w:type="dxa"/>
            <w:vAlign w:val="bottom"/>
          </w:tcPr>
          <w:p>
            <w:pPr>
              <w:spacing w:after="0"/>
              <w:rPr>
                <w:sz w:val="1"/>
                <w:szCs w:val="1"/>
                <w:color w:val="auto"/>
              </w:rPr>
            </w:pP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The selling stockholders will receive all of the proceeds from the sale of</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shares of our common stock. We will not receive any proceeds from the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sale of shares of our common stock by the selling stockholders. The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only proceeds, if any, that we would receive is in connection with the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exercise of any warrants whose shares are being registered for resale</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under this prospectus.</w:t>
            </w:r>
          </w:p>
        </w:tc>
        <w:tc>
          <w:tcPr>
            <w:tcW w:w="0" w:type="dxa"/>
            <w:vAlign w:val="bottom"/>
          </w:tcPr>
          <w:p>
            <w:pPr>
              <w:spacing w:after="0"/>
              <w:rPr>
                <w:sz w:val="1"/>
                <w:szCs w:val="1"/>
                <w:color w:val="auto"/>
              </w:rPr>
            </w:pP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Policy</w:t>
            </w: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We currently intend to retain our future earnings, if any, to finance the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development and expansion of our business and, therefore, do not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intend to pay cash dividends on our common stock for the foreseeable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future. Any future determination to pay dividends will be at the</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discretion of our board of directors and will depend upon then-existing</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conditions, including our results of operations and financial condition,</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capital  requirements,  business  prospects,  statutory  and  contractual</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restrictions on our ability to pay cash dividends, if any, and other factors</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our board of directors may deem relevant.</w:t>
            </w:r>
          </w:p>
        </w:tc>
        <w:tc>
          <w:tcPr>
            <w:tcW w:w="0" w:type="dxa"/>
            <w:vAlign w:val="bottom"/>
          </w:tcPr>
          <w:p>
            <w:pPr>
              <w:spacing w:after="0"/>
              <w:rPr>
                <w:sz w:val="1"/>
                <w:szCs w:val="1"/>
                <w:color w:val="auto"/>
              </w:rPr>
            </w:pPr>
          </w:p>
        </w:tc>
      </w:tr>
      <w:tr>
        <w:trPr>
          <w:trHeight w:val="391"/>
        </w:trPr>
        <w:tc>
          <w:tcPr>
            <w:tcW w:w="4400" w:type="dxa"/>
            <w:vAlign w:val="bottom"/>
          </w:tcPr>
          <w:p>
            <w:pPr>
              <w:spacing w:after="0"/>
              <w:rPr>
                <w:sz w:val="24"/>
                <w:szCs w:val="24"/>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color w:val="0000EE"/>
              </w:rPr>
              <w:t>Dividend Policy</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400" w:type="dxa"/>
            <w:vAlign w:val="bottom"/>
            <w:vMerge w:val="continue"/>
          </w:tcPr>
          <w:p>
            <w:pPr>
              <w:spacing w:after="0"/>
              <w:rPr>
                <w:sz w:val="24"/>
                <w:szCs w:val="24"/>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The Selling Stockholders may, from time to time, sell any or all of their</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shares of our common stock on the stock exchange, market or trading</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facility on which the shares are traded or in private transactions. These</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sales may be at fixed or negotiated prices.</w:t>
            </w:r>
          </w:p>
        </w:tc>
        <w:tc>
          <w:tcPr>
            <w:tcW w:w="0" w:type="dxa"/>
            <w:vAlign w:val="bottom"/>
          </w:tcPr>
          <w:p>
            <w:pPr>
              <w:spacing w:after="0"/>
              <w:rPr>
                <w:sz w:val="1"/>
                <w:szCs w:val="1"/>
                <w:color w:val="auto"/>
              </w:rPr>
            </w:pPr>
          </w:p>
        </w:tc>
      </w:tr>
      <w:tr>
        <w:trPr>
          <w:trHeight w:val="391"/>
        </w:trPr>
        <w:tc>
          <w:tcPr>
            <w:tcW w:w="4400" w:type="dxa"/>
            <w:vAlign w:val="bottom"/>
          </w:tcPr>
          <w:p>
            <w:pPr>
              <w:spacing w:after="0"/>
              <w:rPr>
                <w:sz w:val="24"/>
                <w:szCs w:val="24"/>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For further information, see “</w:t>
            </w:r>
            <w:r>
              <w:rPr>
                <w:rFonts w:ascii="Times New Roman" w:cs="Times New Roman" w:eastAsia="Times New Roman" w:hAnsi="Times New Roman"/>
                <w:sz w:val="18"/>
                <w:szCs w:val="18"/>
                <w:color w:val="0000EE"/>
              </w:rPr>
              <w:t>Plan of Distribution</w:t>
            </w:r>
            <w:r>
              <w:rPr>
                <w:rFonts w:ascii="Times New Roman" w:cs="Times New Roman" w:eastAsia="Times New Roman" w:hAnsi="Times New Roman"/>
                <w:sz w:val="18"/>
                <w:szCs w:val="18"/>
                <w:color w:val="auto"/>
              </w:rPr>
              <w:t>” beginning on page</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55.</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tcBorders>
              <w:top w:val="single" w:sz="8" w:color="0000EE"/>
            </w:tcBorders>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For a</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discussion of factors you should consider in making an investment, see</w:t>
            </w: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6280" w:type="dxa"/>
            <w:vAlign w:val="bottom"/>
            <w:gridSpan w:val="7"/>
          </w:tcPr>
          <w:p>
            <w:pPr>
              <w:ind w:left="1040"/>
              <w:spacing w:after="0" w:line="1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Risk Factors</w:t>
            </w:r>
            <w:r>
              <w:rPr>
                <w:rFonts w:ascii="Times New Roman" w:cs="Times New Roman" w:eastAsia="Times New Roman" w:hAnsi="Times New Roman"/>
                <w:sz w:val="18"/>
                <w:szCs w:val="18"/>
                <w:color w:val="auto"/>
              </w:rPr>
              <w:t>” beginning on page 6.</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Listing and Trading Symbol</w:t>
            </w:r>
          </w:p>
        </w:tc>
        <w:tc>
          <w:tcPr>
            <w:tcW w:w="1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00" w:type="dxa"/>
            <w:vAlign w:val="bottom"/>
            <w:vMerge w:val="continue"/>
          </w:tcPr>
          <w:p>
            <w:pPr>
              <w:spacing w:after="0"/>
              <w:rPr>
                <w:sz w:val="24"/>
                <w:szCs w:val="24"/>
                <w:color w:val="auto"/>
              </w:rPr>
            </w:pPr>
          </w:p>
        </w:tc>
        <w:tc>
          <w:tcPr>
            <w:tcW w:w="6280" w:type="dxa"/>
            <w:vAlign w:val="bottom"/>
            <w:gridSpan w:val="7"/>
          </w:tcPr>
          <w:p>
            <w:pPr>
              <w:ind w:left="1040"/>
              <w:spacing w:after="0"/>
              <w:rPr>
                <w:sz w:val="20"/>
                <w:szCs w:val="20"/>
                <w:color w:val="auto"/>
              </w:rPr>
            </w:pPr>
            <w:r>
              <w:rPr>
                <w:rFonts w:ascii="Times New Roman" w:cs="Times New Roman" w:eastAsia="Times New Roman" w:hAnsi="Times New Roman"/>
                <w:sz w:val="18"/>
                <w:szCs w:val="18"/>
                <w:color w:val="auto"/>
              </w:rPr>
              <w:t>“COEP.”</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395605</wp:posOffset>
            </wp:positionV>
            <wp:extent cx="6964680" cy="786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4680" cy="7865110"/>
                    </a:xfrm>
                    <a:prstGeom prst="rect">
                      <a:avLst/>
                    </a:prstGeom>
                    <a:noFill/>
                  </pic:spPr>
                </pic:pic>
              </a:graphicData>
            </a:graphic>
          </wp:anchor>
        </w:drawing>
      </w: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number of shares of our common stock outstanding is based on the number of shares of our common stock outstanding as of May 20, 2022. This number does not include:</w:t>
      </w:r>
    </w:p>
    <w:p>
      <w:pPr>
        <w:spacing w:after="0" w:line="162" w:lineRule="exact"/>
        <w:rPr>
          <w:sz w:val="20"/>
          <w:szCs w:val="20"/>
          <w:color w:val="auto"/>
        </w:rPr>
      </w:pPr>
    </w:p>
    <w:p>
      <w:pPr>
        <w:ind w:left="360" w:right="20" w:hanging="355"/>
        <w:spacing w:after="0" w:line="282"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8,316,766 shares of our common stock issuable upon exercise of warrants to purchase our common stock at a weighted average exercise price of $2.12 per share;</w:t>
      </w:r>
    </w:p>
    <w:p>
      <w:pPr>
        <w:spacing w:after="0" w:line="161" w:lineRule="exact"/>
        <w:rPr>
          <w:rFonts w:ascii="Times New Roman" w:cs="Times New Roman" w:eastAsia="Times New Roman" w:hAnsi="Times New Roman"/>
          <w:sz w:val="18"/>
          <w:szCs w:val="18"/>
          <w:color w:val="auto"/>
        </w:rPr>
      </w:pPr>
    </w:p>
    <w:p>
      <w:pPr>
        <w:ind w:left="360" w:hanging="355"/>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 shares of our common stock issuable upon conversion of a currently outstanding convertible promissory note; and</w:t>
      </w:r>
    </w:p>
    <w:p>
      <w:pPr>
        <w:spacing w:after="0" w:line="225" w:lineRule="exact"/>
        <w:rPr>
          <w:rFonts w:ascii="Times New Roman" w:cs="Times New Roman" w:eastAsia="Times New Roman" w:hAnsi="Times New Roman"/>
          <w:sz w:val="18"/>
          <w:szCs w:val="18"/>
          <w:color w:val="auto"/>
        </w:rPr>
      </w:pPr>
    </w:p>
    <w:p>
      <w:pPr>
        <w:ind w:left="360" w:hanging="355"/>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 shares of common stock issuable upon the conversion of our Class B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600" w:top="968" w:right="6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Before making an investment decision, you should carefully consider the following risk factors, which address the material risks concerning our business and an investment in our common stock, together with the other information contained in this prospectus. If any of the risks discussed in this prospectus occur, our business, prospects, liquidity, financial condition and results of operations could be materially and adversely affected, in which case the trading price of our common stock could decline significantly and you could lose all or part of your investment. Some statements in this prospectus, including statements in the following risk factors, constitute forward-looking statements. The risk factors discussed below cover not only our current products, product candidates and relationships, but also (i) the risks we expect to encounter when and if we add new product candidates and approved products to our proprietary portfolio, which new products, if added, we expect to be a various stages of pre-clinical and perhaps clinical development and (ii) the risks that will apply to us in our combined operations with Bull Horn when and if the Bull Horn Merger is consummated. Please refer to the section entitled “</w:t>
      </w:r>
      <w:r>
        <w:rPr>
          <w:rFonts w:ascii="Times New Roman" w:cs="Times New Roman" w:eastAsia="Times New Roman" w:hAnsi="Times New Roman"/>
          <w:sz w:val="18"/>
          <w:szCs w:val="18"/>
          <w:i w:val="1"/>
          <w:iCs w:val="1"/>
          <w:u w:val="single" w:color="auto"/>
          <w:color w:val="0000EE"/>
        </w:rPr>
        <w:t>Cautionary Statement Concerning Forward-Looking Statements</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There is a substantial doubt about our ability to continue as a going concern. </w:t>
      </w:r>
      <w:r>
        <w:rPr>
          <w:rFonts w:ascii="Times New Roman" w:cs="Times New Roman" w:eastAsia="Times New Roman" w:hAnsi="Times New Roman"/>
          <w:sz w:val="18"/>
          <w:szCs w:val="18"/>
          <w:color w:val="auto"/>
        </w:rPr>
        <w:t>The report of our independent auditors that accompanies our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statements includes an explanatory paragraph indicating there is a substantial doubt about our ability to continue as a going concern, citing our need for additional capital for the future planned expansion of our activities and to service our ordinary course activities (which may include servicing of indebtedness). The inclusion of a going concern explanatory paragraph in the report of our independent auditors will make it more difficult for us to secure additional financing or enter into strategic relationships on terms acceptable to us, if at all, and likely will materially and adversely affect the terms of any financing that we might obtain. Our financial statements do not include any adjustments that may result from the outcome of this uncertainty.</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have incurred significant losses in prior periods, and losses in the future could cause the quoted price of our common stock to decline or have a material adverse effect on our financial condition, our ability to pay our debts as they become due, and on our cash flows. </w:t>
      </w:r>
      <w:r>
        <w:rPr>
          <w:rFonts w:ascii="Times New Roman" w:cs="Times New Roman" w:eastAsia="Times New Roman" w:hAnsi="Times New Roman"/>
          <w:sz w:val="18"/>
          <w:szCs w:val="18"/>
          <w:color w:val="auto"/>
        </w:rPr>
        <w:t>We have incurred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in prior periods. For the twelve months ended December 31, 2021, we incurred a net loss of 13,449,230 and, as of that date, we had an accumulated deficit of $27,550,126. For the three months ended March 31, 2022, we incurred a net loss of $19,179,693 and, as of that date, we had an accumulated deficit of $46,729,821. Any losses in the future could cause the quoted price of our common stock to decline or have a material adverse effect on our financial condition, our ability to pay our debts as they become due, and on our cash flows.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we have generated only minimal product revenue. We expect that our planned operations will increase losses significantly over the next five years. In order to achieve profitability, we will be required to generate significant revenue. We cannot be certain that we will generate sufficient revenue to achieve profitability. We anticipate that we will continue to generate operating losses and experience negative cash flow from operations at least through the end of 2023 or longer. We cannot be certain that we will ever achieve profitability or that, if profitability is achieved, that is will be maintained. If our revenue grows at a slower rate than we anticipate or if our product development, marketing and operating expenses exceed our expectations or cannot be adjusted accordingly, our business, results of operation and financial condition will be materially adversely affected and we may be unable to continue operations.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not be able to generate meaningful product revenue unless and until one of our product candidates or co-development products successfully completes clinical trials and receives regulatory approval. As some of our current and projected future product candidates or co-development products are, and we expect will be, at an early proof-of-concept stage, we do not expect to receive revenue from any of these products for several years, if at all. We intend to seek to obtain revenue from collaboration or licensing agreements with third parties. We recently shifted our operational focus away from Conjupri and Consensi, in order to focus our efforts on our other product opportunities described elsewhere in this prospectus. We expect that we will need to rely on key third-party agreements, in order to be in a position to realize material revenues in the future, and we may never enter into any such agreements or realize material, ongoing future revenue. Even if we eventually generate revenues, we may never be profitable, and, if we do achieve profitability, we may not be able to sustain or increase profitability on a quarterly or annual basis.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COVID-19 pandemic could have a material adverse impact on our business, results of operations and financial condition. </w:t>
      </w:r>
      <w:r>
        <w:rPr>
          <w:rFonts w:ascii="Times New Roman" w:cs="Times New Roman" w:eastAsia="Times New Roman" w:hAnsi="Times New Roman"/>
          <w:sz w:val="18"/>
          <w:szCs w:val="18"/>
          <w:color w:val="auto"/>
        </w:rPr>
        <w:t>In December 2019,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novel strain of coronavirus was reported to have surfaced in Wuhan, China. In January 2020, the World Health Organization declared the COVID-19 outbreak a “Public Health Emergency of International Concern.” This worldwide outbreak has resulted in the implementation of significant governmental measures, including lockdowns, closures, quarantines and travel bans intended to control the spread of the virus. Companies are also taking precautions, such as requiring employees to work remotely, imposing travel restrictions and temporarily closing businesses and facilities. These restrictions, and future prevention and mitigation measures, have had an adverse impact on global economic conditions and are likely to have an adverse impact on consumer confidence and spending, which could materially adversely affect the supply of, as well as the demand for, our products. Uncertainties regarding the economic impact of COVID-19 is likely to result in sustained market turmoil, which could also negatively impact our business, financial condition and cash flows.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operations or productivity continue to be impacted throughout the duration of the COVID-19 outbreak and government-mandated closures, which may negatively impact our business, financial condition and cash flows. The extent to which the COVID-19 pandemic will further impact our business will depend on future developments and, given the uncertainty around the extent and timing of the potential future spread or mitigation and around the imposition or relaxation of protective measures, we cannot reasonably estimate the impact to our business at this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extent of COVID-19’s effect on our operational and financial performance will depend on future developments, including the duration, spread and intensity of the outbreak, all of which are uncertain and difficult to predict considering the rapidly evolving landscape. As a result, it is not currently possible to ascertain the overall impact of COVID-19 on our business. However, if the pandemic continues for a prolonged period it could have a material adverse effect on our business, results of operations, financial condition and cash flows and adversely impact the trading price of our common stock.</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are unable to manage future expansion effectively, our business may be adversely impacted. </w:t>
      </w:r>
      <w:r>
        <w:rPr>
          <w:rFonts w:ascii="Times New Roman" w:cs="Times New Roman" w:eastAsia="Times New Roman" w:hAnsi="Times New Roman"/>
          <w:sz w:val="18"/>
          <w:szCs w:val="18"/>
          <w:color w:val="auto"/>
        </w:rPr>
        <w:t>In the future, we may experience rapid growth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which could place a significant strain on our operations, in general, and our internal controls and other managerial, operating and financial resources, in particular. If we are unable to manage future expansion effectively, our business would be harmed. There is, of course, no assurance that we will enjoy rapid development in our business.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on the efforts of one of our executive officers; the loss of this officer could disrupt our operations and adversely affect the development of our business</w:t>
      </w:r>
      <w:r>
        <w:rPr>
          <w:rFonts w:ascii="Times New Roman" w:cs="Times New Roman" w:eastAsia="Times New Roman" w:hAnsi="Times New Roman"/>
          <w:sz w:val="18"/>
          <w:szCs w:val="18"/>
          <w:color w:val="auto"/>
        </w:rPr>
        <w:t>. Our success in effectuating our business plan will depend, primarily, on the continued service of our CEO and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David Mehalick. We have just recently entered into an employment agreement with Mr. Mehalick. (See “</w:t>
      </w:r>
      <w:r>
        <w:rPr>
          <w:rFonts w:ascii="Times New Roman" w:cs="Times New Roman" w:eastAsia="Times New Roman" w:hAnsi="Times New Roman"/>
          <w:sz w:val="18"/>
          <w:szCs w:val="18"/>
          <w:u w:val="single" w:color="auto"/>
          <w:color w:val="0000EE"/>
        </w:rPr>
        <w:t>Executive Compensation</w:t>
      </w:r>
      <w:r>
        <w:rPr>
          <w:rFonts w:ascii="Times New Roman" w:cs="Times New Roman" w:eastAsia="Times New Roman" w:hAnsi="Times New Roman"/>
          <w:sz w:val="18"/>
          <w:szCs w:val="18"/>
          <w:color w:val="auto"/>
        </w:rPr>
        <w:t>”). The loss of service of Mr. Mehalick, for any reason, could seriously impair our ability to effectuate our business plan, which could have a materially adverse effect on our business and future results of operations. We have not purchased any key-man life insurance.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are unable to recruit and retain key personnel, our business may be harmed. </w:t>
      </w:r>
      <w:r>
        <w:rPr>
          <w:rFonts w:ascii="Times New Roman" w:cs="Times New Roman" w:eastAsia="Times New Roman" w:hAnsi="Times New Roman"/>
          <w:sz w:val="18"/>
          <w:szCs w:val="18"/>
          <w:color w:val="auto"/>
        </w:rPr>
        <w:t>If we are unable to attract and retain key personnel, our business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harmed. Our failure to enable the effective transfer of knowledge and facilitate smooth transitions with regard to our key employees could adversely affect our long-term strategic planning and execution.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plan is not based on independent market studies. </w:t>
      </w:r>
      <w:r>
        <w:rPr>
          <w:rFonts w:ascii="Times New Roman" w:cs="Times New Roman" w:eastAsia="Times New Roman" w:hAnsi="Times New Roman"/>
          <w:sz w:val="18"/>
          <w:szCs w:val="18"/>
          <w:color w:val="auto"/>
        </w:rPr>
        <w:t>We have not commissioned any independent market studies concerning our business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Rather, our plans for implementing our business strategy and achieving profitability are based on the experience, judgment and assumptions of our management. If these assumptions prove to be incorrect, we may not be successful in our business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Board of Directors may change our policies without shareholder approval. </w:t>
      </w:r>
      <w:r>
        <w:rPr>
          <w:rFonts w:ascii="Times New Roman" w:cs="Times New Roman" w:eastAsia="Times New Roman" w:hAnsi="Times New Roman"/>
          <w:sz w:val="18"/>
          <w:szCs w:val="18"/>
          <w:color w:val="auto"/>
        </w:rPr>
        <w:t>Our policies, including any policies with respect to investments, leverage,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growth, debt and capitalization, will be determined by our Board of Directors or officers to whom our Board of Directors delegate such authority. Our Board of Directors will also establish the amount of any dividends or other distributions that we may pay to our shareholders. Our Board of Directors or officers to which such decisions are delegated will have the ability to amend or revise these and our other policies at any time without shareholder vote. Accordingly, our shareholders will not be entitled to approve changes in our policies, which policy changes may have a material adverse effect on our financial condition and results of operations.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need to obtain financing in order to continue our operations and pursue strategic transactions. </w:t>
      </w:r>
      <w:r>
        <w:rPr>
          <w:rFonts w:ascii="Times New Roman" w:cs="Times New Roman" w:eastAsia="Times New Roman" w:hAnsi="Times New Roman"/>
          <w:sz w:val="18"/>
          <w:szCs w:val="18"/>
          <w:color w:val="auto"/>
        </w:rPr>
        <w:t>On a prospective basis, we will require both short-term financing for operations and long-term capital to fund our expected growth. We have no existing bank lines of credit and have not established any definitive sources for additional financing. We believe that cash on hand will be sufficient to meet our short-term financial requirements into the 3rd quarter of 2022 assuming that we elect not to pursue and consummate strategic transactions prior to that time. However, we will require additional funds if we want to fully implement our business plan and growth strategy, including strategic transactions, which funds could come in the form of equity, debt (including secured debt) or a combination of the two. Additional financing may not be available to us, or if available, then it may not be available upon terms and conditions acceptable to us. If adequate funds are not available, then we may be required to delay, reduce or eliminate product development or clinical programs. Our inability to take advantage of opportunities in the industry because of capital constraints may have a material adverse effect on our business and our prospects. If we fail to obtain the capital necessary to fund our operations, we will be unable to advance our development programs and complete our clinical trials.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research and development expenses could exceed our current expectations. This could occur for many reasons, including:</w:t>
      </w:r>
    </w:p>
    <w:p>
      <w:pPr>
        <w:spacing w:after="0" w:line="225" w:lineRule="exact"/>
        <w:rPr>
          <w:sz w:val="20"/>
          <w:szCs w:val="20"/>
          <w:color w:val="auto"/>
        </w:rPr>
      </w:pPr>
    </w:p>
    <w:p>
      <w:pPr>
        <w:ind w:left="660" w:right="3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our product candidates and co-development candidates fail in clinical or preclinical studies and we are forced to seek additional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co-development candidates require more extensive clinical or preclinical testing than we currently expect;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 more of our product candidates and co-development candidates than expected into costly later stage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advance more preclinical product candidates and co-development candidates than expected into early-stage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or consider it advisable, to acquire or license rights from one or more third parties;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to acquire or license rights to additional product candidates and co-development candidates or new technologies.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expect to seek additional funding through public or private financings, we may not be able to obtain financing on acceptable terms, or at all. In addition, the terms of our financings may be dilutive to, or otherwise adversely affect, holders of our Common Stock and other capital securities. We may also seek additional funds through arrangements with collaborators or other third parties.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including some or all of our product candidates.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currently do not have sufficient cash to fully implement our business plan. </w:t>
      </w:r>
      <w:r>
        <w:rPr>
          <w:rFonts w:ascii="Times New Roman" w:cs="Times New Roman" w:eastAsia="Times New Roman" w:hAnsi="Times New Roman"/>
          <w:sz w:val="18"/>
          <w:szCs w:val="18"/>
          <w:color w:val="auto"/>
        </w:rPr>
        <w:t>We have experienced a lack of adequate capital resources causing us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unable to fully implement our full business plan. We believe that we need to raise or otherwise obtain additional financing beyond our current cash position in order to satisfy our existing obligations and fully implement our business plan. We do not expect to have positive cash flow until the end of 2023 or longer. If we are not successful in obtaining additional financing, including pursuant to this offering, we will not be able to fully implement our business plan and we may not be able to continue our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have a limited operating history and a history of operating losses, and expect to incur significant additional operating losses. </w:t>
      </w:r>
      <w:r>
        <w:rPr>
          <w:rFonts w:ascii="Times New Roman" w:cs="Times New Roman" w:eastAsia="Times New Roman" w:hAnsi="Times New Roman"/>
          <w:sz w:val="18"/>
          <w:szCs w:val="18"/>
          <w:color w:val="auto"/>
        </w:rPr>
        <w:t>We began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2017 and have a limited operating history. Although we have enlisted the assistance of pharmaceutical experts, our lack of experience may cause us to encounter unforeseen problems that could have a material adverse effect on our business and financial condition. Further, there is limited historical financial information upon which to base an evaluation of our performance.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drug development and approval process is uncertain, time-consuming and expensive. </w:t>
      </w:r>
      <w:r>
        <w:rPr>
          <w:rFonts w:ascii="Times New Roman" w:cs="Times New Roman" w:eastAsia="Times New Roman" w:hAnsi="Times New Roman"/>
          <w:sz w:val="18"/>
          <w:szCs w:val="18"/>
          <w:color w:val="auto"/>
        </w:rPr>
        <w:t>The process of obtaining and maintaining regulatory approvals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new therapeutic products is lengthy, expensive and uncertain. It also can vary substantially based on the type, complexity, and novelty of the product. We, or our co-development partners, must provide the FDA and foreign regulatory authorities with preclinical and clinical data demonstrating that our products are safe and effective before they can be approved for commercial sale. Clinical development, including preclinical testing, is a long, expensive and uncertain process. It may take us several years to complete our testing, and failure can occur at any stage of testing. Any preclinical or clinical test may fail to produce results satisfactory to the FDA. Preclinical and clinical data can be interpreted in different ways, which could delay, limit or prevent regulatory approval. Negative or inconclusive results from a preclinical study or clinical trial, adverse medical events during a clinical trial or safety issues resulting from products of the same class of drug could cause a preclinical study or clinical trial to be repeated or a program to be terminated, even if other studies or trials relating to the program are successful.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will be required to sustain and further build our intellectual property rights. </w:t>
      </w:r>
      <w:r>
        <w:rPr>
          <w:rFonts w:ascii="Times New Roman" w:cs="Times New Roman" w:eastAsia="Times New Roman" w:hAnsi="Times New Roman"/>
          <w:sz w:val="18"/>
          <w:szCs w:val="18"/>
          <w:color w:val="auto"/>
        </w:rPr>
        <w:t>We do not currently have any intellectual property rights in our name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 of our current assets, and instead have rights in respect of our current assets through agreements with third parties. We intend to fully protect any product, formulation and process that we develop with appropriate intellectual property registrations. If we fail to sustain and further build our direct and indirect intellectual property rights, competitors will be able to take advantage of our research and development efforts to develop competing products. If we are not able to protect our proprietary technology, trade secrets, and know-how, our competitors may use our inventions to develop competing products. Our future patents and patent applications, even if granted, may not protect us against our competitors. Patent positions generally, including those of other pharmaceutical and biotechnology companies, are or will be generally uncertain and involve complex legal, scientific and factual questions. The standards which the United States Patent and Trademark Office uses to grant patents, and the standards which courts use to interpret patents, are not always applied predictably or uniformly and can change, particularly as new technologies develop. Consequently, the level of protection, if any, that will be provided by our direct or indirect patent rights from time to time if we attempt to enforce them, and they are challenged, is uncertain. In addition, the type and extent of patent claims that will be issued to us in the future is uncertain. Any patents that are issued may not contain claims that permit us to stop competitors from using similar technology.</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also rely on unpatented technology, trade secrets, and confidential information. We may not be able to effectively protect our rights to this technology or information. Other parties may independently develop substantially equivalent information and techniques or otherwise gain access to or disclose our technology. We will generally require each of our employees, consultants, collaborators, and certain contractors to execute a confidentiality agreement at the commencement of an employment, consulting, collaborative, or contractual relationship with us. However, these agreements may not provide effective protection of our technology or information or, in the event of unauthorized use or disclosure, they may not provide adequate remedies.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positions are often uncertain and involve complex legal and factual questions. In addition, the laws of some foreign countries do not protect proprietary rights to the same extent as the laws of the United States. Whether filed in the United States or abroad, our patent applications may be challenged or may fail to result in issued patents. In addition,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or fail to provide us with any competitive advantages. We may not have the funds available to protect our patents or other technology; such protection is costly and can result in further litigation expenses.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If we do not obtain or we are unable to maintain adequate patent or trade secret protection for our products in the United States, competitors could duplicate them without repeating the extensive testing that we will be required to undertake to obtain approval of the products by the FDA. Regardless of any patent protection, under the current statutory framework the FDA is prohibited by law from approving any generic version of any of our products for a period of years that would be determined based on the nature of the product (i.e. an orphan drugs would get 7 years, a new chemical entity would get 5 years and a new clinical investigation would get 3 years). Upon the expiration of that period, or if that time period is altered, the FDA could approve a generic version of our product unless we have patent protection sufficient for us to block that generic version. Without sufficient patent protection, the applicant for a generic version of our product would be required only to conduct a relatively inexpensive study to show that its product is bioequivalent to our product and may not have to repeat the studies that we will need to conduct to demonstrate that the product is safe and effective. In the absence of adequate patent protection in other countries, competitors may similarly be able to obtain regulatory approval in those countries of products that duplicate our products.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will be required to comply with our obligations in our intellectual property licenses and other agreements with third parties. </w:t>
      </w:r>
      <w:r>
        <w:rPr>
          <w:rFonts w:ascii="Times New Roman" w:cs="Times New Roman" w:eastAsia="Times New Roman" w:hAnsi="Times New Roman"/>
          <w:sz w:val="18"/>
          <w:szCs w:val="18"/>
          <w:color w:val="auto"/>
        </w:rPr>
        <w:t>If we fail to comply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obligations in our intellectual property licenses and other agreements with third parties, we could lose license rights that are important to our business. We are not currently party to any intellectual property license agreement with any third parties, but we anticipate that in-licensing and co-development will be strategies that we utilize as we continue to pursue our growth strategy. We expect to enter into licenses and co-development and other agreements in the future, and we expect these agreements to impose, various diligences, milestone payment, royalty, insurance and other obligations on us. If we fail to comply with these obligations, the licensor may have the right to terminate the license, in which event we might not be able to market any product that is covered by the licensed patents.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need to resort to litigation to enforce or defend our intellectual property rights, including any patents issued to us. If a competitor or collaborator files a patent application claiming technology also invented by us, in order to protect our rights, we may have to participate in an expensive and time-consuming interference proceeding before the United States Patent and Trademark Office. We cannot guarantee that our product candidates will be free of claims by third parties alleging that we have infringed their intellectual property rights. Third parties may assert that we are employing their proprietary technologies without authorization and they may resort to litigation to attempt to enforce their rights. Third parties may have or obtain patents in the future and claim that the use of our technology or any of our product candidates infringes their patents. We may not be able to develop or commercialize combination product candidates because of patent protection others have. Our business will be harmed if we cannot obtain a necessary or desirable license, can obtain such a license only on terms we consider to be unattractive or unacceptable, or if we are unable to redesign our product candidates or processes to avoid actual or potential patent or other intellectual property infringement. Obtaining, protecting and defending patent and other intellectual property rights can be expensive and may require us to incur substantial costs, including the diversion of management and technical personnel. An unfavorable ruling in patent or intellectual property litigation could subject us to significant liabilities to third parties, require us to cease developing, manufacturing or selling the affected products or using the affected processes, require us to license the disputed rights from third parties, or result in awards of substantial damages against 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would prevail in any intellectual property infringement action, will be able to obtain a license to any third-party intellectual property on commercially reasonable terms, successfully develop non-infringing alternatives on a timely basis, or license non-infringing alternatives, if any exist, on commercially reasonable terms. Any significant intellectual property impediment to our ability to develop and commercialize our products could seriously harm our business and prospects.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Patent litigation or other litigation in connection with our intellectual property rights may lead to publicity that may harm our reputation and the value of our common stock may decline. </w:t>
      </w:r>
      <w:r>
        <w:rPr>
          <w:rFonts w:ascii="Times New Roman" w:cs="Times New Roman" w:eastAsia="Times New Roman" w:hAnsi="Times New Roman"/>
          <w:sz w:val="18"/>
          <w:szCs w:val="18"/>
          <w:color w:val="auto"/>
        </w:rPr>
        <w:t>During the course of any patent litigation, there may be public announcements of the results of hearings, motions,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interim proceedings or developments in the litigation. If securities analysts or investors regard these announcements as negative, the value of our common stock may decline. General proclamations or statements by key public figures may also have a negative impact on the perceived value of our intellectual property.</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Protecting and defending against intellectual property claims may have a material adverse effect on our business. </w:t>
      </w:r>
      <w:r>
        <w:rPr>
          <w:rFonts w:ascii="Times New Roman" w:cs="Times New Roman" w:eastAsia="Times New Roman" w:hAnsi="Times New Roman"/>
          <w:sz w:val="18"/>
          <w:szCs w:val="18"/>
          <w:color w:val="auto"/>
        </w:rPr>
        <w:t>From time to time, we may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that others have infringed on our proprietary rights or that we have infringed on the intellectual property rights of others. There can be no assurance that infringement or invalidity claims will not materially adversely affect our business, financial condition or results of operations. Regardless of the validity or the success of the assertion of claims, we could incur significant costs and diversion of resources in protecting or defending against claims, which could have a material adverse effect on our business, financial condition or results of operations. We may not have the funds or resources available to protect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competitors and potential competitors may develop products and technologies that make ours less attractive or obsolete. </w:t>
      </w:r>
      <w:r>
        <w:rPr>
          <w:rFonts w:ascii="Times New Roman" w:cs="Times New Roman" w:eastAsia="Times New Roman" w:hAnsi="Times New Roman"/>
          <w:sz w:val="18"/>
          <w:szCs w:val="18"/>
          <w:color w:val="auto"/>
        </w:rPr>
        <w:t>Many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universities, and research organizations developing competing product candidates have greater resources and significantly greater experience in financial, research and development, manufacturing, marketing, sales, distribution, and technical regulatory matters than we have. In addition, many competitors have greater name recognition and more extensive collaborative relationships. Our competitors could commence and complete clinical testing of their product candidates, obtain regulatory approvals, and begin commercial-scale manufacturing of their products faster than we or our co-development partners are able to for our products. They could develop products that would render our product candidates and co-development candidates, and those of our collaborators, obsolete and noncompetitive. If we are unable to compete effectively against these companies, then we may not be able to commercialize our product candidates or achieve a competitive position in the market. This would adversely affect our ability to generate revenues.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Competition in the biotechnology and pharmaceutical industries may result in competing products, superior marketing of other products and lower revenues or profits for us. </w:t>
      </w:r>
      <w:r>
        <w:rPr>
          <w:rFonts w:ascii="Times New Roman" w:cs="Times New Roman" w:eastAsia="Times New Roman" w:hAnsi="Times New Roman"/>
          <w:sz w:val="18"/>
          <w:szCs w:val="18"/>
          <w:color w:val="auto"/>
        </w:rPr>
        <w:t>There are many companies that are seeking to develop products and therapies for the treatment of the same diseases that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targeting.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do in undertaking preclinical testing and human clinical studies of new pharmaceutical products and in obtaining regulatory approvals of human therapeutic products. Accordingly, our competitors may succeed in obtaining FDA approval for superior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risks and uncertainties include:</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preclinical and clinical development of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amounts of products for development and commercialization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successfully enforce adequate patent and other proprietary rights protection of our products and services.</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validity and enforceability of patents and other proprietary rights held by third parties and their impact on our ability to commercialize our products and services.</w:t>
      </w:r>
    </w:p>
    <w:p>
      <w:pPr>
        <w:spacing w:after="0" w:line="16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of the size and characteristics of the markets to be addressed by our products and services, including growth projections.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new patients for our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information regarding the products and resources of our competitors and potential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 and timing of submissions to and decisions made by the US Food and Drug Administration (FDA) and other regulatory agencies.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for our products and services from third-party payors, and the extent of such coverage.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 collaboration and distribution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funding of our collaborations and joint ventures, if any are ultimately established.</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of our operations due to terrorist activities and armed conflict, including as a result of the disruption of operation of our subsidiaries and our customers, suppliers, distributors, couriers, collaborative partners, licensees and clinical trial sites.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limited experience in conducting the clinical trials required to obtain regulatory approval. We may not be able to conduct clinical trials at preferred sites, enlist clinical investigators, enroll sufficient numbers of participants, or begin or successfully complete clinical trials in a timely fashion, if at all. Any failure to perform may delay or terminate the trials. Our current clinical trials may be insufficient to demonstrate that our potential products will be active, safe, or effective. Additional clinical trials may be required if clinical trial results are negative or inconclusive, which will require us to incur additional costs and significant delays. If we do not receive the necessary regulatory approvals, we will not be able to generate product revenues and may not become profitable.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Regulation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regulatory approval process is costly and lengthy, and we may not be able to successfully obtain all required regulatory approvals. </w:t>
      </w:r>
      <w:r>
        <w:rPr>
          <w:rFonts w:ascii="Times New Roman" w:cs="Times New Roman" w:eastAsia="Times New Roman" w:hAnsi="Times New Roman"/>
          <w:sz w:val="18"/>
          <w:szCs w:val="18"/>
          <w:color w:val="auto"/>
        </w:rPr>
        <w:t>The preclinical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clinical trials, manufacturing, marketing and labeling of pharmaceuticals are all subject to extensive regulation by numerous governmental authorities and agencies in the United States and other countries. We must obtain regulatory approval for each of our product candidates before marketing or selling any of them. It is not possible to predict how long the approval processes of the FDA or any other applicable federal or foreign regulatory authority or agency for any of our products will take or whether any such approvals ultimately will be granted. The FDA and foreign regulatory agencies have substantial discretion in the drug approval process, and positive results in preclinical testing or early phases of clinical studies offer no assurance of success in later phases of the approval process. Generally, preclinical and clinical testing of products can take many years and require the expenditure of substantial resources, and the data obtained from these tests and trials can be susceptible to varying interpretations that could delay, limit or prevent regulatory approval. If we encounter significant delays in the regulatory process that result in excessive costs, this may prevent us from continuing to develop our product candidates. Any delay in obtaining, or failure to obtain, approvals could adversely affect the marketing of our products and our ability to generate product revenue. The risks associated with the approval process include:</w:t>
      </w:r>
    </w:p>
    <w:p>
      <w:pPr>
        <w:spacing w:after="0" w:line="18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to meet a regulatory agency’s requirements for safety, efficacy and quality;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on the indicated uses for which a product may be marketed;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regulatory requirements and guidelines.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 if we receive regulatory approvals for marketing our product candidates, if we fail to comply with continuing regulatory requirements, we could lose our regulatory approvals, and our business would be adversely affected. </w:t>
      </w:r>
      <w:r>
        <w:rPr>
          <w:rFonts w:ascii="Times New Roman" w:cs="Times New Roman" w:eastAsia="Times New Roman" w:hAnsi="Times New Roman"/>
          <w:sz w:val="18"/>
          <w:szCs w:val="18"/>
          <w:color w:val="auto"/>
        </w:rPr>
        <w:t>The FDA continues to review products even after they receive initial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If we receive approval to commercialize any product candidates, the manufacturing, marketing and sale of these drugs will be subject to continuing regulation, including compliance with quality systems regulations, good manufacturing practices, adverse event requirements, and prohibitions on promoting a product for unapproved uses. Enforcement actions resulting from our failure to comply with government and regulatory requirements could result in fines, suspension of approvals, withdrawal of approvals, product recalls, product seizures, mandatory operating restrictions, criminal prosecution, civil penalties and other actions that could impair the manufacturing, marketing and sale of our potential products and our ability to conduct our business.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 </w:t>
      </w:r>
      <w:r>
        <w:rPr>
          <w:rFonts w:ascii="Times New Roman" w:cs="Times New Roman" w:eastAsia="Times New Roman" w:hAnsi="Times New Roman"/>
          <w:sz w:val="18"/>
          <w:szCs w:val="18"/>
          <w:color w:val="auto"/>
        </w:rPr>
        <w:t>Even if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regulatory approval for our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we may be required to conduct additional clinical trials, make changes in labeling of our product, reformulate our product or make changes and obtain new approvals for our and our suppliers’ manufacturing facilities.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Healthcare reform measures could adversely affect our business. </w:t>
      </w:r>
      <w:r>
        <w:rPr>
          <w:rFonts w:ascii="Times New Roman" w:cs="Times New Roman" w:eastAsia="Times New Roman" w:hAnsi="Times New Roman"/>
          <w:sz w:val="18"/>
          <w:szCs w:val="18"/>
          <w:color w:val="auto"/>
        </w:rPr>
        <w:t>The efforts of governmental and third-party payers to contain or reduce the costs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may adversely affect the business and financial condition of pharmaceutical companies. In the United States and in foreign jurisdictions there have been, and we expect that there will continue to be, a number of legislative and regulatory proposals aimed at changing the healthcare system. For example, in some countries other than the United States, pricing of prescription drugs is subject to government control, and we expect proposals to implement similar controls in the United States to continue. The pendency or approval of such proposals could result in a decrease in our common stock value or limit our ability to raise capital or to enter into collaborations or license rights to our products.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legislation may increase the pressure to reduce prices of pharmaceutical products paid for by Medicare, which could adversely affect our revenues, if any. </w:t>
      </w:r>
      <w:r>
        <w:rPr>
          <w:rFonts w:ascii="Times New Roman" w:cs="Times New Roman" w:eastAsia="Times New Roman" w:hAnsi="Times New Roman"/>
          <w:sz w:val="18"/>
          <w:szCs w:val="18"/>
          <w:color w:val="auto"/>
        </w:rPr>
        <w:t>The Medicare Prescription Drug Improvement and Modernization Act of 2003, or MMA, expanded Medicare coverage for drug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purchases by the elderly and disabled beginning in 2006. The legislation uses formularies, preferred drug lists and similar mechanisms that may limit the number of drugs that will be covered in any therapeutic class or reduce the reimbursement for some of the drugs in a class. More recently, the Patient Protection and Affordable Care Act of 2010 also contained certain provisions with the potential to affect pricing of pharmaceutical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expansion of legislation, including recent healthcare insurance legislation, and the expansion of federal coverage of drug products, we expect that there will be additional pressure to contain and reduce costs. These cost reduction initiatives could decrease the coverage and price that we receive for our products in the future and could seriously harm our business. While the MMA applies only to drug benefits for Medicare beneficiaries, private payers often follow Medicare coverage policy and payment limitations in setting their own reimbursement systems, and any limits on or reductions in reimbursement that occur in the Medicare program may result in similar limits on or reductions in payments from private payers.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laws or regulations on drug importation could make lower cost versions of our future products available, which could adversely affect our revenues, if any. </w:t>
      </w:r>
      <w:r>
        <w:rPr>
          <w:rFonts w:ascii="Times New Roman" w:cs="Times New Roman" w:eastAsia="Times New Roman" w:hAnsi="Times New Roman"/>
          <w:sz w:val="18"/>
          <w:szCs w:val="18"/>
          <w:color w:val="auto"/>
        </w:rPr>
        <w:t>The prices of some drugs are lower in other countries than in the United States because of government regulation and market conditions.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proposals have been advanced to permit the importation of drugs from other countries to provide lower cost alternatives to the products available in the United States. In addition, the MMA requires the Secretary of Health and Human Services to promulgate regulations for drug reimportation from Canada into the United States under some circumstances, including when the drugs are sold at a lower price than in the United States. A prime example of the effort to provide safe, lower cost drugs to consumers is Safe Importation Action Plan that was released by the Department of Health and Human Services (HHS) and the Food and Drug Administration (FDA), which plan is describes steps the HHS and FDA will take to allow the safe importation of certain drugs originally intended for non-US markets. If the laws or regulations are changed to permit or more easily permit the importation of drugs into the United States in circumstances that are currently not permitted, such a change could have an adverse effect on our business by making available lower priced alternatives to our future products.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obtain regulatory and pricing approvals in foreign jurisdictions could delay or prevent commercialization of our products abroad. </w:t>
      </w:r>
      <w:r>
        <w:rPr>
          <w:rFonts w:ascii="Times New Roman" w:cs="Times New Roman" w:eastAsia="Times New Roman" w:hAnsi="Times New Roman"/>
          <w:sz w:val="18"/>
          <w:szCs w:val="18"/>
          <w:color w:val="auto"/>
        </w:rPr>
        <w:t>If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succeed in developing any products, we intend to market them in the European Union and other foreign jurisdictions. In order to do so, we must obtain separate regulatory approvals and comply with numerous and varying regulatory requirements. The approval procedure varies among countries and can involve additional testing. The time required to obtain approval abroad may differ from that required to obtain FDA approval. The foreign regulatory approval process may include all of the risks associated with obtaining FDA approval and additional risks associated with requirements particular to those foreign jurisdictions where we will seek regulatory approval of our products. We may not obtain foreign regulatory approvals on a timely basis, if at all. Approval by the FDA does not ensure approval by regulatory authorities in other countries, and approval by one foreign regulatory authority does not ensure approval by regulatory authorities in other foreign countries or by the FDA. We and our collaborators may not be able to file for regulatory approvals and may not receive necessary approvals to commercialize our products in any market outside the United States. The failure to obtain these approvals could materially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and Structure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holding company structure makes us dependent on our subsidiaries for our cash flow and could serve to subordinate the rights of our shareholders to the rights of creditors of our subsidiaries, in the event of an insolvency or liquidation of any such subsidiary. </w:t>
      </w:r>
      <w:r>
        <w:rPr>
          <w:rFonts w:ascii="Times New Roman" w:cs="Times New Roman" w:eastAsia="Times New Roman" w:hAnsi="Times New Roman"/>
          <w:sz w:val="18"/>
          <w:szCs w:val="18"/>
          <w:color w:val="auto"/>
        </w:rPr>
        <w:t>Our company acts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 company and, accordingly, substantially all of our operations are conducted through our subsidiaries. Such subsidiaries will be separate and distinct legal entities. As a result, substantially all of our cash flow will depend upon the earnings of our subsidiaries. In addition, we will depend on the distribution of earnings, loans or other payments by our subsidiaries. No subsidiary will have any obligation to provide our company with funds for our payment obligations. If there is an insolvency, liquidation or other reorganization of any of our subsidiaries, our shareholders will have no right to proceed against their assets. Creditors of those subsidiaries will be entitled to payment in full from the sale or other disposal of the assets of those subsidiaries before our company, as a shareholder, would be entitled to receive any distribution from that sale or disposal.</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proposed Bull Horn Merger may not be consummated, and even if consummated may not have the intended benefits</w:t>
      </w:r>
      <w:r>
        <w:rPr>
          <w:rFonts w:ascii="Times New Roman" w:cs="Times New Roman" w:eastAsia="Times New Roman" w:hAnsi="Times New Roman"/>
          <w:sz w:val="18"/>
          <w:szCs w:val="18"/>
          <w:color w:val="auto"/>
        </w:rPr>
        <w:t>. There is no assurance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Blue Horn Merger will be consummated, or that if it is consummated that we will successfully operate as combined entities following the closing of the merger. We recently entered into the Bull Horn Merger Agreement, the closing of which is subject to the prior satisfaction of a number of conditions. As such, there is no guarantee that the Bull Horn Merger will be consummated. In addition, there is no guarantee that if the Bull Horn Merger is consummated that we or our shareholders will be able to experience that benefits of the Bull Horn Merger that we expect to enjoy. (See “Business—Bull Horn Merger” for details regarding the Bull Horn Merger Agreement and the related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 Purchase of the Offered Shares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seek capital that may result in shareholder dilution or that may have rights senior to those of our common stock, including the Offered Shares. </w:t>
      </w:r>
      <w:r>
        <w:rPr>
          <w:rFonts w:ascii="Times New Roman" w:cs="Times New Roman" w:eastAsia="Times New Roman" w:hAnsi="Times New Roman"/>
          <w:sz w:val="18"/>
          <w:szCs w:val="18"/>
          <w:color w:val="auto"/>
        </w:rPr>
        <w:t>From time to time, we may seek to obtain additional capital, either through equity, equity-linked or debt securities. The decision to obtain additional capital will depend on, among other factors, our business plans, operating performance and condition of the capital markets. If we raise additional funds through the issuance of equity, equity-linked or debt securities, those securities may have rights, preferences or privileges senior to the rights of our common stock, which could negatively affect the market price of our common stock or cause our shareholders to experience dilution.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do not intend to pay dividends on our common stock. </w:t>
      </w:r>
      <w:r>
        <w:rPr>
          <w:rFonts w:ascii="Times New Roman" w:cs="Times New Roman" w:eastAsia="Times New Roman" w:hAnsi="Times New Roman"/>
          <w:sz w:val="18"/>
          <w:szCs w:val="18"/>
          <w:color w:val="auto"/>
        </w:rPr>
        <w:t>We intend to retain earnings, if any, to provide funds for the implementation of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We do not intend to declare or pay any dividends in the foreseeable future. Therefore, there can be no assurance that holders of our common stock will receive cash, stock or other dividends on their shares of our common stock, until we have funds which our Board of Directors determines can be allocated to dividends.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Because we became public pursuant to a “reverse merger” transaction, we may not be able to attract the attention of brokerage firms. </w:t>
      </w:r>
      <w:r>
        <w:rPr>
          <w:rFonts w:ascii="Times New Roman" w:cs="Times New Roman" w:eastAsia="Times New Roman" w:hAnsi="Times New Roman"/>
          <w:sz w:val="18"/>
          <w:szCs w:val="18"/>
          <w:color w:val="auto"/>
        </w:rPr>
        <w:t>Additional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exist, since we became public pursuant to a “reverse merger” transaction. Securities analysts of brokerage firms may not provide coverage of us, since there is little incentive to brokerage firms to recommend the purchase of our common stock. No assurance can be given that brokerage firms will want to conduct any secondary offerings on our behalf, in the future.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common stock has been, and may in the future be, a “Penny Stock” and subject to specific rules governing its sale to investors. </w:t>
      </w:r>
      <w:r>
        <w:rPr>
          <w:rFonts w:ascii="Times New Roman" w:cs="Times New Roman" w:eastAsia="Times New Roman" w:hAnsi="Times New Roman"/>
          <w:sz w:val="18"/>
          <w:szCs w:val="18"/>
          <w:color w:val="auto"/>
        </w:rPr>
        <w:t>The SEC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adopted Rule 15g-9 which establishes the definition of a “penny stock,” for the purposes relevant to our Common Stock, as any equity security that has a market price of less than $5.00 per share or with an exercise price of less than $5.00 per share, subject to certain exceptions. For any transaction involving a penny stock, unless exempt, the rules require that a broker or dealer approve a person’s account for transactions in penny stocks; and the broker or dealer receive from the investor a written agreement to the transaction, setting forth the identity and quantity of the penny stock to be purchased.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approve a person’s account for transactions in penny stocks, the broker or dealer must obtain financial information and investment experience objectives of the person; and 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broker or dealer must also deliver, prior to any transaction in a penny stock, a disclosure schedule prescribed by the SEC relating to the penny stock market, which, in highlight form sets forth the basis on which the broker or dealer made the suitability determination; and that the broker or dealer received a signed, written agreement from the investor prior to the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brokers may be less willing to execute transactions in securities subject to the “penny stock” rules. This may make it more difficult for investors sell shares of our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There is minimal trading activity in our common stock and there is no assurance that an active market will develop in the future. </w:t>
      </w:r>
      <w:r>
        <w:rPr>
          <w:rFonts w:ascii="Times New Roman" w:cs="Times New Roman" w:eastAsia="Times New Roman" w:hAnsi="Times New Roman"/>
          <w:sz w:val="18"/>
          <w:szCs w:val="18"/>
          <w:color w:val="auto"/>
        </w:rPr>
        <w:t>Although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is currently quoted on the OTC Pink marketplace of OTC Link (an interdealer electronic quotation system operated by OTC Markets Group, Inc.) under the symbol “COEP”, trading of our common stock may be extremely sporadic. For example, several days may pass before any shares may be traded. As a result, an investor may find it difficult to dispose of, or to obtain accurate quotations of the price of our common stock. There can be no assurance that a more active market for our common stock will develop, or if one should develop, there is no assurance that it will be sustained. This severely limits the liquidity of our common stock, and would likely have a material adverse effect on the market price of our common stock and on our ability to raise additional capital.</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market for our common stock may be volatile; you could lose all or part of your investment in the Offered Shares. </w:t>
      </w:r>
      <w:r>
        <w:rPr>
          <w:rFonts w:ascii="Times New Roman" w:cs="Times New Roman" w:eastAsia="Times New Roman" w:hAnsi="Times New Roman"/>
          <w:sz w:val="18"/>
          <w:szCs w:val="18"/>
          <w:color w:val="auto"/>
        </w:rPr>
        <w:t>The market price of our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may fluctuate substantially and will depend on a number of factors many of which are beyond our control and may not be related to our operating performance. These fluctuations could cause you to lose all or part of your investment in the Offered Shares, since you might be unable to sell your Offered Shares at or above the price you pay for the Offered Shares. Factors that could cause fluctuations in the market price of our common stock include, but are not limited to, the following:</w:t>
      </w:r>
    </w:p>
    <w:p>
      <w:pPr>
        <w:spacing w:after="0" w:line="1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pharmaceutical and biotechnology stocks;</w:t>
      </w:r>
    </w:p>
    <w:p>
      <w:pPr>
        <w:spacing w:after="0" w:line="2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pharmaceutical and biotechnology companies generally, or those in our industry in particular;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Common Stock by us or our shareholders;</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operating results or fluctuations in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management;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Compliance with the reporting requirements of federal securities laws can be expensive. </w:t>
      </w:r>
      <w:r>
        <w:rPr>
          <w:rFonts w:ascii="Times New Roman" w:cs="Times New Roman" w:eastAsia="Times New Roman" w:hAnsi="Times New Roman"/>
          <w:sz w:val="18"/>
          <w:szCs w:val="18"/>
          <w:color w:val="auto"/>
        </w:rPr>
        <w:t>We are a public reporting company in the United States,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accordingly, subject to the information and reporting requirements of the Exchange Act and other federal securities laws, and the compliance obligations of the Sarbanes-Oxley Act. The costs of preparing and filing annual and quarterly reports and other required information with the SEC, furnishing audited reports to shareholders and preparing any registration statements from time to time, if any, are substantial.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Applicable regulatory requirements, including those contained in and issued under the Sarbanes-Oxley Act of 2002, may make it difficult for us to retain or attract qualified officers and directors, which could adversely affect the management of our business and our ability to obtain or retain listing of our common stock. </w:t>
      </w:r>
      <w:r>
        <w:rPr>
          <w:rFonts w:ascii="Times New Roman" w:cs="Times New Roman" w:eastAsia="Times New Roman" w:hAnsi="Times New Roman"/>
          <w:sz w:val="18"/>
          <w:szCs w:val="18"/>
          <w:color w:val="auto"/>
        </w:rPr>
        <w:t>We may be unable to attract and retain those qualified officers, directors and members of board committees required to provide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effective management because of the rules and regulations that govern publicly held companies, including, but not limited to, certifications by principal executive officers. The enactment of the Sarbanes-Oxley Act has resulted in the issuance of a series of related rules and regulations and the strengthening of existing rules and regulations by the SEC, as well as the adoption of new and more stringent rules by the stock exchanges. The perceived increased personal risk associated with these changes may deter qualified individuals from accepting roles as directors and executive officers.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some of these changes heighten the requirements for board or committee membership, particularly with respect to an individual’s independence from the corporation and level of experience in finance and accounting matters. While certain board and committee requirements may not apply to us as an OTC listed company, we intend to explore voluntarily complying with some of these requirements. We may have difficulty attracting and retaining directors with the requisite qualifications. If we are unable to attract and retain qualified officers and directors, the management of our business and our ability to obtain or retain listing of our shares of common stock on any stock exchange (assuming we elect to seek and are successful in obtaining such listing) could be adversely affected.</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have undisclosed liabilities and any such liabilities could harm our revenues, business, prospects, financial condition and results of operations. </w:t>
      </w:r>
      <w:r>
        <w:rPr>
          <w:rFonts w:ascii="Times New Roman" w:cs="Times New Roman" w:eastAsia="Times New Roman" w:hAnsi="Times New Roman"/>
          <w:sz w:val="18"/>
          <w:szCs w:val="18"/>
          <w:color w:val="auto"/>
        </w:rPr>
        <w:t>Even though our pre-merger assets and liabilities were transferred in the divestiture of NDYN Delaware, Inc., we may be liable for any or all of such liabilities. Any such liabilities that survived the Merger and become applicable to us could harm our revenues, business, prospects, financial condition and results of operations upon our acceptance of responsibility for such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transfer of our membership interests in NDYN Delaware, Inc. and associated assets and liabilities could result in taxable income to us in an amount equal to the difference between the fair market value of the assets transferred and the pre-merger tax basis of the assets, if such a difference is deemed to exist. Any gain recognized, to the extent not offset by any net operating loss carryforward, if any, will be subject to federal income tax at regular corporate income tax rates. (See “</w:t>
      </w:r>
      <w:r>
        <w:rPr>
          <w:rFonts w:ascii="Times New Roman" w:cs="Times New Roman" w:eastAsia="Times New Roman" w:hAnsi="Times New Roman"/>
          <w:sz w:val="18"/>
          <w:szCs w:val="18"/>
          <w:u w:val="single" w:color="auto"/>
          <w:color w:val="0000EE"/>
        </w:rPr>
        <w:t>Certain Relationships and Related Transactions</w:t>
      </w:r>
      <w:r>
        <w:rPr>
          <w:rFonts w:ascii="Times New Roman" w:cs="Times New Roman" w:eastAsia="Times New Roman" w:hAnsi="Times New Roman"/>
          <w:sz w:val="18"/>
          <w:szCs w:val="18"/>
          <w:color w:val="auto"/>
        </w:rPr>
        <w:t>— Divestiture”).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fail to maintain an effective system of internal controls, we may not be able to accurately report our financial results or detect fraud, and, consequently, investors could lose confidence in our financial reporting and this may decrease the trading price of our common stock. </w:t>
      </w:r>
      <w:r>
        <w:rPr>
          <w:rFonts w:ascii="Times New Roman" w:cs="Times New Roman" w:eastAsia="Times New Roman" w:hAnsi="Times New Roman"/>
          <w:sz w:val="18"/>
          <w:szCs w:val="18"/>
          <w:color w:val="auto"/>
        </w:rPr>
        <w:t>We must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 effective internal controls to provide reliable financial reports and detect fraud. We have been assessing our internal controls to identify areas that need improvement. We are in the process of implementing changes to internal controls, but have not yet completed implementing these changes. Failure to implement these changes to our internal controls or any others that it identifies as necessary to maintain an effective system of internal controls could harm our operating results and cause investors to lose confidence in our reported financial information. Any such loss of confidence would have a negative effect on the trading price of our stock.</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Certificate of Incorporation allows for our board to create new series of preferred stock without further approval by our shareholders, which could adversely affect the rights of the holders of our common stock, including purchasers of the Offered Shares. </w:t>
      </w:r>
      <w:r>
        <w:rPr>
          <w:rFonts w:ascii="Times New Roman" w:cs="Times New Roman" w:eastAsia="Times New Roman" w:hAnsi="Times New Roman"/>
          <w:sz w:val="18"/>
          <w:szCs w:val="18"/>
          <w:color w:val="auto"/>
        </w:rPr>
        <w:t>Our board of directors has the authority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 shares of our preferred stock, with such relative rights and preferences as the board of directors may determine, without further shareholder approval. As a result, our board of directors could authorize the issuance of a series of preferred stock that would grant to holders the preferred right to our assets upon liquidation and the right to receive dividend payments before dividends are distributed to the holders of our common stock. In addition, our board of directors could authorize the issuance of a series of preferred stock that has greater voting power than our common stock or that is convertible into our common stock, which could decrease the relative voting power of our common stock or result in dilution to our existing shareholders.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Corporation Law (DGCL), which may, unless certain criteria are met, prohibit large shareholders, in particular those owning 15% or more of the voting rights on our common stock, from merging or combining with us for a prescribed period of time.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outstanding shares of our Series B Convertible Preferred Stock effectively preclude current and future owners of our common stock from influencing any corporate decision. </w:t>
      </w:r>
      <w:r>
        <w:rPr>
          <w:rFonts w:ascii="Times New Roman" w:cs="Times New Roman" w:eastAsia="Times New Roman" w:hAnsi="Times New Roman"/>
          <w:sz w:val="18"/>
          <w:szCs w:val="18"/>
          <w:color w:val="auto"/>
        </w:rPr>
        <w:t>Our Chairman, CEO and President, David Mehalick, as the owner of 100% of all outstanding shares of our Series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Convertible Preferred Stock, will have significant control of the management and affairs of our company, as well as matters requiring the approval by our shareholders, including the election of directors, any merger, consolidation or sale of all or substantially all of our assets, and any other significant corporate transaction. Each holder of outstanding shares of Series B Convertible Preferred Stock shall be entitled to the number of votes equal to 1,000 shares of our common stock for each share of Series B Convertible Preferred Stock. Except as provided by law, or by the provisions establishing any other series of our Preferred Stock, holders of Series B Convertible Preferred Stock and of any other outstanding series of Preferred Stock shall vote on an as-converted basis together with the holders of our common stock as a single class.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Future issuances of debt securities and equity securities could negatively affect the market price of shares of our common stock and, in the case of equity securities, may be dilutive to existing shareholders. </w:t>
      </w:r>
      <w:r>
        <w:rPr>
          <w:rFonts w:ascii="Times New Roman" w:cs="Times New Roman" w:eastAsia="Times New Roman" w:hAnsi="Times New Roman"/>
          <w:sz w:val="18"/>
          <w:szCs w:val="18"/>
          <w:color w:val="auto"/>
        </w:rPr>
        <w:t>In the future, we may issue debt or equity securities or incur other financial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stock dividends. Upon liquidation, it is possible that holders of our debt securities and other loans and preferred stock would receive a distribution of our available assets before common shareholders. We are not required to offer any such additional debt or equity securities to existing shareholders on a preemptive basis. Therefore, additional common stock issuances, directly or through convertible or exchangeable securities, warrants or options, would dilute the holdings of our existing common shareholders and such issuances, or the perception of such issuances, could reduce the market price of shares of our common stock.</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are ever deemed to be an issuer of penny stock, the protection provided by the federal securities laws relating to forward-looking statements will not apply to us. </w:t>
      </w:r>
      <w:r>
        <w:rPr>
          <w:rFonts w:ascii="Times New Roman" w:cs="Times New Roman" w:eastAsia="Times New Roman" w:hAnsi="Times New Roman"/>
          <w:sz w:val="18"/>
          <w:szCs w:val="18"/>
          <w:color w:val="auto"/>
        </w:rPr>
        <w:t>Although federal securities laws provide a safe harbor for forward-looking statements made by a public company that files reports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federal securities laws, this safe harbor is not available to issuers of penny stocks. As a result, we will not have the benefit of this safe harbor protection, in the event of any legal action based upon a claim that the material provided by us contained a material misstatement of fact or was misleading in any material respect because of our failure to include any statements necessary to make the statements not misleading. Such an action could hurt our financial condition.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and the reduced disclosure requirements applicable to emerging growth companies may make our common stock less attractive to investors</w:t>
      </w:r>
      <w:r>
        <w:rPr>
          <w:rFonts w:ascii="Times New Roman" w:cs="Times New Roman" w:eastAsia="Times New Roman" w:hAnsi="Times New Roman"/>
          <w:sz w:val="18"/>
          <w:szCs w:val="18"/>
          <w:color w:val="auto"/>
        </w:rPr>
        <w:t>. We are an “emerging growth company,” as defined in the JOBS Act.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long as we remain an emerging growth company, we are permitted and plan to rely on exemptions from certain disclosure requirements that are applicable to other public companies that are not emerging growth companies. These exemptions include, but are not limited to: (i) exemption from compliance with the auditor attestation requirements pursuant to SOX; (ii) exemption from compliance with any requirement that may be adopted by the Public Company Accounting Oversight Board regarding mandatory audit firm rotation or a supplement to the auditor’s report providing additional information about the audit and the financial statements; (iii) reduced disclosure about our executive compensation arrangements; and (iv)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continue to remain an emerging growth company until the earliest of the following: (i) the last day of the fiscal year following the fifth anniversary of the date of the completion of this offering; (ii) the last day of the fiscal year in which our total annual gross revenue is equal to or more than $1.07 billion; (iii) the date on which we have issued more than $1 billion in nonconvertible debt during the previous three years; or (iv) the date on which we are deemed to be a large accelerated filer under the rules of the SEC.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are currently a “smaller reporting company,” as defined in the Exchange Act and have elected to take advantage of certain of the scaled disclosures available to smaller reporting companies. To the extent that we continue to qualify as a “smaller reporting company” as such term is defined in Rule 12b-2 under the Exchange Act, after we cease to qualify as an emerging growth company, certain of the exemptions available to us as an “emerging growth company” may continue to be available to us as a “smaller reporting company,” including exemption from compliance with the auditor attestation requirements pursuant to SOX and reduced disclosure about our executive compensation arrangements. We will continue to be a “smaller reporting company” until we have $250 million or more in public float (based on our outstanding capital stock) measured as of the last business day of our most recently completed second fiscal quarter or, in the event we have no public float (based on our outstanding capital stock) or a public float (based on our outstanding capital stock) that is less than $700 million, annual revenues of $100 million or more during the most recently completed fiscal year.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the information we provide stockholders will be different than the information that is available with respect to other public companies. In this prospectus, we have not included all of the executive compensation related information that would be required if we were not an emerging growth company, nor have we included all of the quantitative and qualitative disclosures about market risk that would be required if we were not a smaller reporting company. We cannot predict whether investors will find our stock less attractive if we rely on these exemptions. If some investors find our stock less attractive as a result, there may be a less active trading market for our stock, and our stock price may be more volatile.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opted to take advantage of this extended transition period for the adoption of certain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in this prospectus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prospectus are “forward-looking statements” for purposes of federal and state securities laws, including statements regarding our expectations and projections regarding future developments, operations and financial conditions, and the anticipated impact of our acquisitions, business strategy, and strategic priorities.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prospectus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known and unknown risks, uncertainties and assumptions. Although we believe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inherent risks and uncertainties.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present our estimates and assumptions only as of the date of this prospectus. Accordingly, you are cautioned not to place undue reliance on forward-looking statements, which speak only as of the dates on which they are made. Except as required by applicable law, we do not plan to publicly update or revise any forward-looking statements contained herein, whether as a result of any new information, future events, changed circumstances or otherwise. Important factors that could cause actual results to differ materially from those in the forward-looking statements include, but are not limited to, those summarized below:</w:t>
      </w:r>
    </w:p>
    <w:p>
      <w:pPr>
        <w:spacing w:after="0" w:line="183" w:lineRule="exact"/>
        <w:rPr>
          <w:sz w:val="20"/>
          <w:szCs w:val="20"/>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Bull Horn Merger is consummated, there is no assurance that we will achieve the intended benefits of the Bull Horn Merger;</w:t>
      </w:r>
    </w:p>
    <w:p>
      <w:pPr>
        <w:spacing w:after="0" w:line="27"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from the pandemic involving the novel coronavirus known as COVID-19;</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damage to or interruption of our information technology systems due to cyber-attacks or other circumstances beyond our control;</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geographical actions, including war and terrorism;</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implement our growth strategy on a timely basis or at all;</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our anticipated growth, or we may not grow at all;</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we expect to incur losses in the future and we may not be able to achieve or maintain profitability;</w:t>
      </w:r>
    </w:p>
    <w:p>
      <w:pPr>
        <w:spacing w:after="0" w:line="9" w:lineRule="exact"/>
        <w:rPr>
          <w:rFonts w:ascii="Times New Roman" w:cs="Times New Roman" w:eastAsia="Times New Roman" w:hAnsi="Times New Roman"/>
          <w:sz w:val="18"/>
          <w:szCs w:val="18"/>
          <w:color w:val="auto"/>
        </w:rPr>
      </w:pPr>
    </w:p>
    <w:p>
      <w:pPr>
        <w:ind w:left="880" w:hanging="332"/>
        <w:spacing w:after="0" w:line="250"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initiate and complete preclinical studies and clinical trials for our product candidates which could adversely affect our business;</w:t>
      </w:r>
    </w:p>
    <w:p>
      <w:pPr>
        <w:ind w:left="880" w:hanging="332"/>
        <w:spacing w:after="0" w:line="250"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the third-party relationships that are necessary to develop, commercialize and manufacture some or all of our product candidates;</w:t>
      </w: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adversely affect our operations;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obtain financing in order to continue our operations;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development and approval process is uncertain, time-consuming and expensive;</w:t>
      </w:r>
    </w:p>
    <w:p>
      <w:pPr>
        <w:spacing w:after="0" w:line="9" w:lineRule="exact"/>
        <w:rPr>
          <w:rFonts w:ascii="Times New Roman" w:cs="Times New Roman" w:eastAsia="Times New Roman" w:hAnsi="Times New Roman"/>
          <w:sz w:val="18"/>
          <w:szCs w:val="18"/>
          <w:color w:val="auto"/>
        </w:rPr>
      </w:pPr>
    </w:p>
    <w:p>
      <w:pPr>
        <w:ind w:left="880" w:hanging="332"/>
        <w:spacing w:after="0" w:line="250"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biotechnology and pharmaceutical industries may result in competing products, superior marketing of other products and lower revenues or profits for us;</w:t>
      </w:r>
    </w:p>
    <w:p>
      <w:pPr>
        <w:ind w:left="880" w:hanging="332"/>
        <w:spacing w:after="0" w:line="250"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or regulations on drug importation could make lower cost versions of our future products available, which could adversely affect our revenues, if any;</w:t>
      </w: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 is costly and lengthy, and we may not be able to successfully obtain all required regulatory approvals;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measures could adversely affect our business;</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defending against intellectual property claims may have a material adverse effect on our business;</w:t>
      </w:r>
    </w:p>
    <w:p>
      <w:pPr>
        <w:spacing w:after="0" w:line="9" w:lineRule="exact"/>
        <w:rPr>
          <w:rFonts w:ascii="Times New Roman" w:cs="Times New Roman" w:eastAsia="Times New Roman" w:hAnsi="Times New Roman"/>
          <w:sz w:val="18"/>
          <w:szCs w:val="18"/>
          <w:color w:val="auto"/>
        </w:rPr>
      </w:pPr>
    </w:p>
    <w:p>
      <w:pPr>
        <w:ind w:left="880" w:hanging="332"/>
        <w:spacing w:after="0" w:line="250"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retain our current senior management team and our scientific advisors or continue to attract and retain qualified scientific, technical and business personnel, our business will suffer;</w:t>
      </w: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substantial doubt about our ability to continue as a going concern; and</w:t>
      </w:r>
    </w:p>
    <w:p>
      <w:pPr>
        <w:spacing w:after="0" w:line="9" w:lineRule="exact"/>
        <w:rPr>
          <w:rFonts w:ascii="Times New Roman" w:cs="Times New Roman" w:eastAsia="Times New Roman" w:hAnsi="Times New Roman"/>
          <w:sz w:val="18"/>
          <w:szCs w:val="18"/>
          <w:color w:val="auto"/>
        </w:rPr>
      </w:pPr>
    </w:p>
    <w:p>
      <w:pPr>
        <w:ind w:left="880" w:hanging="332"/>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identified in this prospectus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 looking statements. These forward looking statements represent our estimates and assumptions only as of the date of this prospectus and, except as required by law, we undertake no obligation to update or revise publicly any forward looking statements, whether as a result of new information, future events or otherwise after the date of this prospectus. We qualify all of our forward 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by the Selling Stockholders. However, we will receive proceeds from the exercise, if any, of the Warrants of the Selling Stockholders. The exercise price and the number of the Warrant Shares may be adjusted in certain circumstances, including stock splits, dividends or distributions, or other similar transactions. We will use these proceeds, if any, for general corporate and working capital purposes, or for other purposes that our board of directors, in its good faith, deems to be in the best interest of our Company. We have agreed to bear the expenses relating to the registration of the offer and resale by the Selling Stockholders of the shares being offered hereby. There can be no assurance that any of these Warrants will be exercised by the Selling Stockholders at 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stockholders will determine at what price they may sell the Securities offered by this prospectus, and such sales may be made at fixed prices, prevailing market prices at the time of the sale, varying prices determined at the time of sale, or negotiated prices.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THE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20, 2022, our common stock is listed on the OTC Pink under the symbol “COEP”. The closing price of our common stock on the OTC Pink on May 20, 2022 was $2.49 per share. As of May 20, 2022, we had 38,987,897 shares of our common stock outstanding. As of May 20, 2022, we had 463 record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cash and cash equivalents and capitalization as of December 31, 2021 and March 31, 2022.</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You should refer to “</w:t>
      </w:r>
      <w:r>
        <w:rPr>
          <w:rFonts w:ascii="Times New Roman" w:cs="Times New Roman" w:eastAsia="Times New Roman" w:hAnsi="Times New Roman"/>
          <w:sz w:val="18"/>
          <w:szCs w:val="18"/>
          <w:i w:val="1"/>
          <w:iCs w:val="1"/>
          <w:u w:val="single" w:color="auto"/>
          <w:color w:val="0000EE"/>
        </w:rPr>
        <w:t>Management’s Discussion and Analysis of Financial Condition and Results of Operations</w:t>
      </w:r>
      <w:r>
        <w:rPr>
          <w:rFonts w:ascii="Times New Roman" w:cs="Times New Roman" w:eastAsia="Times New Roman" w:hAnsi="Times New Roman"/>
          <w:sz w:val="18"/>
          <w:szCs w:val="18"/>
          <w:color w:val="auto"/>
        </w:rPr>
        <w:t>” and the financial statements and related notes contained elsewhere in this prospectus in evaluating the material presented below and the Company’s financial performance generally.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8"/>
                <w:szCs w:val="18"/>
                <w:color w:val="auto"/>
              </w:rPr>
            </w:pP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4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(unaudited)</w:t>
            </w:r>
          </w:p>
        </w:tc>
      </w:tr>
      <w:tr>
        <w:trPr>
          <w:trHeight w:val="209"/>
        </w:trPr>
        <w:tc>
          <w:tcPr>
            <w:tcW w:w="7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2,179,558</w:t>
            </w:r>
          </w:p>
        </w:tc>
        <w:tc>
          <w:tcPr>
            <w:tcW w:w="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2,343,829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 including current maturities: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4,067,000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3,817,000</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(including Notes payable)</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4,414,942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4,411,527</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750,000,000 shares authorized, 37,082,864 shares issued and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2021 and 38,429,397 shares issued and outstanding at March 31,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3,718</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10,000,000 shares authorized, 8,000 shares issued and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30,144,374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49,060,797</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27,550,126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46,729,821</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2,350,634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2,337,195</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2,350,634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includes forward-looking statements about our business, financial condition and results of operations, including discussions about management’s expectations for our business. The financial condition, results of operations and cash flows discussed in this Management’s Discussion and Analysis of Financial Condition and Results of Operations are those of Coeptis Therapeutics, inc. and its consolidated subsidiaries, collectively, the “Company,” “Coeptis,” “we,” “our,” or “us”. These statements represent projections, beliefs, and expectations based on current circumstances and conditions and in light of recent events and trends, and you should not construe these statements either as assurances of performance or as promises of a given course of action. Instead, various known and unknown factors are likely to cause our actual performance and management’s actions to vary, and the results of these variances may be both material and adverse. Accordingly, readers are cautioned not to place undue reliance on these forward-looking statements, which reflect management’s analysis only as of the date hereof. We undertake no obligation to publicly release the results of any revision to these forward-looking statements which may be made to reflect events or circumstances after the date hereof or to reflect the occurrence of unanticipated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financial statements and related notes, beginning on page F-1 of this prospectus.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actual results may differ materially from those anticipated in the following discussion, as a result of a variety of risks and uncertainties, including those described under Cautionary Statement Regarding Forward-Looking Statements and Risk Factors. We assume no obligation to update any of the forward-looking statements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with less than $1.07 billion in revenue during our last fiscal year, we qualify as an emerging growth company, as defined in the Jumpstart Our Business Startups Act of 2012 (the JOBS Act). As an emerging growth company, we may take advantage of specified reduced disclosure and other requirements that are otherwise applicable generally to public companies. These provisions include:</w:t>
      </w:r>
    </w:p>
    <w:p>
      <w:pPr>
        <w:spacing w:after="0" w:line="176"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having to obtain non-binding advisory votes on executive compensation or golden parachute arrangements.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in the assessment of our internal control over financial reporting.</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if we have more than $1.07 billion in annual revenue, we have more than $700 million in market value of our stock held by non-affiliates, or we issue more than $1 billion of non-convertible debt over a three-year period. We may choose to take advantage of some but not all of these reduced burdens. We have taken advantage of these reduced reporting burdens herein, and the information that we provide may be different than what you might get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company, Coeptis Therapeutics, Inc. (“Coeptis Therapeutics”), is a holding company that conducts its current operations through its wholly-owned subsidiary Coeptis Pharmaceuticals, Inc. (“Coeptis”). We are a pharmaceutical company which owns, acquires, and develops drug products and pharmaceutical technologies which offer improvements to current therapies. Our products and technologies are intended to be commercialized in the US and worldwide markets. Since Coeptis’ inception in 2017, it has acquired and commercialized two drug products for the U S market, which were approved as 505b2 applications. These anti-hypertension products were launched into the US market during 2020 through a marketing partner. At launch, the sales and promotional efforts were significantly impeded by the limitation of the global pandemic and as such, we have since abandoned all activities and ownership pertaining to both products. We also began the development of several ANDA products which we divested in 2019 to a larger generic pharmaceutical drug manufacturer, and have moved away from focusing on the commercialization of generic products. In early 2021, we entered into strategic partnerships to co-develop improved therapies for the auto-immune and oncology markets. Following the reverse merger transaction involving us and Coeptis, we continue to focus on identifying and investing resources into innovative products and technologies which we believe will significantly transform Coeptis’ current products and therapies.</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During 2020 and continuing through 2021, Coeptis faced several operational challenges related to the COVID-19 global pandemic, which we continue to work to overcome. The launch of both 5050b2 products was impacted because of various COVID-19 limitations, most notably field sales personnel were not able to make healthcare provider visits in person; thereby limiting the awareness of the availability of these products. We explored and implemented several non-personal promotion efforts, but given the global limitations and dynamics, it was challenging to achieve expected sales. We have since abandoned all activities and ownership pertaining to both products.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May 2021, we entered into two exclusive option agreements (the “CD38 Agreements”) relating to separate technologies designed to improve the treatment of CD38-related cancers (e.g., multiple myeloma, chronic lymphocytic leukemia, and acute myeloid leukemia) with VyGen-Bio, Inc. (“Vy-Gen”), a majority-owned subsidiary of Vycellix, Inc., a Tampa, Florida-based private, immuno-centric discovery life science company focused on the development of transformational platform technologies to enhance and optimize next-generation cell and gene-based therapies, including T cell and Natural Killer (NK) cell-based cancer therapies.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CD38 Agreements relate to two separate Vy-Gen drug product candidates, as follows:</w:t>
      </w:r>
    </w:p>
    <w:p>
      <w:pPr>
        <w:spacing w:after="0" w:line="223"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CD38-GEAR-NK</w:t>
      </w:r>
      <w:r>
        <w:rPr>
          <w:rFonts w:ascii="Times New Roman" w:cs="Times New Roman" w:eastAsia="Times New Roman" w:hAnsi="Times New Roman"/>
          <w:sz w:val="18"/>
          <w:szCs w:val="18"/>
          <w:color w:val="auto"/>
        </w:rPr>
        <w:t>. This Vy-Gen drug product candidate is designed to protect CD38+ NK cells from destruction by anti-CD38 monoclonal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antibodies, or mAbs. CD38-GEAR-NK is an autologous, NK cell-based therapeutic that is derived from a patient’s own cells and gene-edited to enable combination therapy with anti-CD38 mAbs. We believe CD38-GEAR-NK possesses the potential to minimize the risks and side effects from CD38-positive NK cell fratricide.</w:t>
      </w:r>
    </w:p>
    <w:p>
      <w:pPr>
        <w:spacing w:after="0" w:line="180" w:lineRule="exact"/>
        <w:rPr>
          <w:sz w:val="20"/>
          <w:szCs w:val="20"/>
          <w:color w:val="auto"/>
        </w:rPr>
      </w:pPr>
    </w:p>
    <w:p>
      <w:pPr>
        <w:jc w:val="both"/>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Market Opportunity</w:t>
      </w:r>
      <w:r>
        <w:rPr>
          <w:rFonts w:ascii="Times New Roman" w:cs="Times New Roman" w:eastAsia="Times New Roman" w:hAnsi="Times New Roman"/>
          <w:sz w:val="18"/>
          <w:szCs w:val="18"/>
          <w:color w:val="auto"/>
        </w:rPr>
        <w:t>. We believe CD38-GEAR-NK could potentially revolutionize how CD38-related cancers are treated, by protecting CD38+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NK cells from destruction by anti-CD38 mAbs, thereby promoting the opportunity to improve the treatment of CD38-related cancers, including multiple myeloma, chronic lymphocytic leukemia, and acute myeloid leukemia.</w:t>
      </w:r>
    </w:p>
    <w:p>
      <w:pPr>
        <w:spacing w:after="0" w:line="17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Multiple myeloma is expected to be the first cancer indication targeted with CD38-GEAR-NK. The global multiple myeloma market was $19.48B in 2018 and is expected to reach $31B by 2026 [Source: Fortune Business Reports].</w:t>
      </w:r>
    </w:p>
    <w:p>
      <w:pPr>
        <w:spacing w:after="0" w:line="160" w:lineRule="exact"/>
        <w:rPr>
          <w:sz w:val="20"/>
          <w:szCs w:val="20"/>
          <w:color w:val="auto"/>
        </w:rPr>
      </w:pPr>
    </w:p>
    <w:p>
      <w:pPr>
        <w:jc w:val="both"/>
        <w:ind w:right="180" w:firstLine="648"/>
        <w:spacing w:after="0" w:line="281" w:lineRule="auto"/>
        <w:rPr>
          <w:sz w:val="20"/>
          <w:szCs w:val="20"/>
          <w:color w:val="auto"/>
        </w:rPr>
      </w:pPr>
      <w:r>
        <w:rPr>
          <w:rFonts w:ascii="Times New Roman" w:cs="Times New Roman" w:eastAsia="Times New Roman" w:hAnsi="Times New Roman"/>
          <w:sz w:val="17"/>
          <w:szCs w:val="17"/>
          <w:i w:val="1"/>
          <w:iCs w:val="1"/>
          <w:u w:val="single" w:color="auto"/>
          <w:color w:val="auto"/>
        </w:rPr>
        <w:t>CD38-Diagnostic</w:t>
      </w:r>
      <w:r>
        <w:rPr>
          <w:rFonts w:ascii="Times New Roman" w:cs="Times New Roman" w:eastAsia="Times New Roman" w:hAnsi="Times New Roman"/>
          <w:sz w:val="17"/>
          <w:szCs w:val="17"/>
          <w:color w:val="auto"/>
        </w:rPr>
        <w:t>. This Vy-Gen product candidate is an in vitro diagnostic tool to analyze if cancer patients might be appropriate candidates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anti-CD38 mAb therapy. CD38-Diagnostic is an in vitro screening tool that provides the ability to pre-determine which cancer patients are most likely to benefit from targeted anti-CD38 mAb therapies, either as monotherapy or in combination with CD38-GEAR-NK. CD38-Diagnostic also has the potential to develop as a platform technology beyond CD38, to identify patients likely to benefit for broad range of mAb therapies across myriad indications.</w:t>
      </w:r>
    </w:p>
    <w:p>
      <w:pPr>
        <w:spacing w:after="0" w:line="164"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Market Opportunity</w:t>
      </w:r>
      <w:r>
        <w:rPr>
          <w:rFonts w:ascii="Times New Roman" w:cs="Times New Roman" w:eastAsia="Times New Roman" w:hAnsi="Times New Roman"/>
          <w:sz w:val="18"/>
          <w:szCs w:val="18"/>
          <w:color w:val="auto"/>
        </w:rPr>
        <w:t>. We believe CD38-Diagnostic provides opportunity to make more cost-effective medical decisions for the treatment of B cell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malignancies with high CD38 expression, including multiple myeloma, which may help to avoid unnecessary administration of anti-CD38 therapies. CD38-Diagnostic could prevent patients from being subjected to ineffective therapy and enable significant savings to healthcare systems.</w:t>
      </w:r>
    </w:p>
    <w:p>
      <w:pPr>
        <w:spacing w:after="0" w:line="17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CD38-Diagnostic could be offered as a companion diagnostic for determining patient suitability and likelihood of positive treatment outcomes for CD38-GEAR-NK and/or CD38 monoclonal antibody therapies.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ind w:right="40" w:firstLine="648"/>
        <w:spacing w:after="0" w:line="315" w:lineRule="auto"/>
        <w:rPr>
          <w:sz w:val="20"/>
          <w:szCs w:val="20"/>
          <w:color w:val="auto"/>
        </w:rPr>
      </w:pPr>
      <w:r>
        <w:rPr>
          <w:rFonts w:ascii="Times New Roman" w:cs="Times New Roman" w:eastAsia="Times New Roman" w:hAnsi="Times New Roman"/>
          <w:sz w:val="17"/>
          <w:szCs w:val="17"/>
          <w:i w:val="1"/>
          <w:iCs w:val="1"/>
          <w:u w:val="single" w:color="auto"/>
          <w:color w:val="auto"/>
        </w:rPr>
        <w:t>GEAR-NK Product Overview</w:t>
      </w:r>
      <w:r>
        <w:rPr>
          <w:rFonts w:ascii="Times New Roman" w:cs="Times New Roman" w:eastAsia="Times New Roman" w:hAnsi="Times New Roman"/>
          <w:sz w:val="17"/>
          <w:szCs w:val="17"/>
          <w:color w:val="auto"/>
        </w:rPr>
        <w:t>. GEAR-NK is an autologous, gene-edited, natural killer cell-based therapeutic development platform that allows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modified NK cells to be co-administered with targeted mAbs, which, in the absence of the GEAR-NK, would otherwise be neutralized by mAb therapy.</w:t>
      </w:r>
    </w:p>
    <w:p>
      <w:pPr>
        <w:spacing w:after="0" w:line="13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May 2021, we made initial payments totaling $750,000 under the CD38 Agreements, to acquire the exclusive options to acquire co-development rights with respect to CD38-GEAR-NK and CD38-Diagnostic. On August 15, 2021, we entered into amendments to each of the CD038 Agreements. In connection with the two amendments, we delivered to VyGen promissory notes aggregating $3,250,000 with maturity dates of December 31, 2021, and made a cash payment of $1,000,000, upon which cash payment we exercised the two definitive option purchase agreements. In December 2021, we completed our payment obligations to secure the 50% ownership interest in the CD38-Diagnostic, and also entered into an amendment of the CD038-GEAR-NK promissory note to extend the maturity date to March 31, 2022 and to increase the scalable downward adjustment percentage for the CD38-GEAR-NK product candidate to 25%. Pursuant to the CD038-GEAR-NK amendment, if the promissory note is timely paid by March 31, 2022, Coeptis will maintain its 50% ownership interest in the CD38-GEAR-NK product candidate, and if the CD38-GEAR-NK promissory note is not timely paid by March 31, 2022, Coeptis’ ownership interest in such assets will automatically be reduced to 25% and the promissory note will be automatically cancelled and will no longer be due or payable. Details of the two August amendments and the December amendment are summarized in the amendments attached at Exhibits 4.1 and 4.2 to our Current Report on Form 8-K dated August 19, 2021 and Exhibits 4.2 to the our Current Report on Form 8-K dated December 27, 2021.</w:t>
      </w:r>
    </w:p>
    <w:p>
      <w:pPr>
        <w:spacing w:after="0" w:line="19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Vy-Gen relationship and the Company’s ownership in the two product candidates described above, in December 2021 the Company and Vy-Gen entered into a co-development and steering committee agreement. The co-development and steering committee agreement provides for the governance and economic agreements between the Company and Vy-Gen related of the development of the two Vy-Gen drug product candidates and the revenue sharing related thereto, including each company having a 50% representation on the steering committee and each company receiving 50% of the net revenues related to the Vy-Gen product candidates (scalable downward to 25% for the CD38-GEAR-NK as described above). Details of the co-development and steering committee agreement are summarized in our Current Report on Form 8-K dated December 27, 2021, including Exhibits 4.1 and 4.2 thereto.</w:t>
      </w:r>
    </w:p>
    <w:p>
      <w:pPr>
        <w:spacing w:after="0" w:line="18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Statera BioPharma</w:t>
      </w:r>
      <w:r>
        <w:rPr>
          <w:rFonts w:ascii="Times New Roman" w:cs="Times New Roman" w:eastAsia="Times New Roman" w:hAnsi="Times New Roman"/>
          <w:sz w:val="18"/>
          <w:szCs w:val="18"/>
          <w:color w:val="auto"/>
        </w:rPr>
        <w:t>. Coeptis executed a binding Letter of Intent (LOI) with Statera BioPharma, a clinical stage biopharmaceutical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immunotherapy via its proprietary AIMS platform. The LOI details a collaboration between the two companies for STAT-201, a product in development for Crohn’s disease. Coeptis is to assist Statera BioPharma in its efforts to develop and commercialize STAT-201 in adult and pediatric populations. Coeptis is to receive development fees and commercial milestones under the to-be-completed definitive agreement.</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STAT-201</w:t>
      </w:r>
      <w:r>
        <w:rPr>
          <w:rFonts w:ascii="Times New Roman" w:cs="Times New Roman" w:eastAsia="Times New Roman" w:hAnsi="Times New Roman"/>
          <w:sz w:val="18"/>
          <w:szCs w:val="18"/>
          <w:color w:val="auto"/>
        </w:rPr>
        <w:t>. STAT-201 is a lower dose version of an existing FDA approved product. STAT-201 has been granted Orphan Drug designation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FDA which provides up to 7 years of market exclusivity upon approval. The safety profile of STAT-201 has been established and clinical studies have been previously conducted showing preliminary efficacy in Crohn’s disease and other inflammatory diseases. A method of use patent was filed in 2011 and additional patents have been recently filed.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working closely with Statera on near- and longer-term development strategy and timelines for clinical trials and subsequent FDA filings.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Market Opportunity. There are many FDA approved products to treat Crohn’s disease, including aminosalicylates, such as Azulfidine® and Asacol®, corticosteroids and biologics, such as Humira®. Some of the disadvantages of current therapies include: high cost, frequent dosing (up to 3 doses per day) and side effects ranging from upper respiratory infection, risk of other infections, decreased immune system function, and diarrhea. In initial studies, STAT-201 exhibited mild side effects including vivid dreams, dizziness and headaches. STAT-201 will be available as an oral tablet or capsule taken once per day.</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United States market for Crohn’s disease was valued at $11.7 Billion in 202 and is expected to expand at a CAGR of 4.8% from 2021-2028 [Source: Grnad View Research 2021]. A large portion of this market, approximately 60%, are the biologic drugs. It is estimated that up to 40% of Crohn’s patients may be non-responsive to biologic treatments. The target market for STAT-201 includes patients who do not tolerate and/or are considered non-responsive to biologic treatment. The market potential for STAT-201 in Crohn’s disease alone is approximately $1.4-2.4 Billion annually in the United States.</w:t>
      </w:r>
    </w:p>
    <w:p>
      <w:pPr>
        <w:spacing w:after="0" w:line="181"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Vici Health Sciences, LLC</w:t>
      </w:r>
      <w:r>
        <w:rPr>
          <w:rFonts w:ascii="Times New Roman" w:cs="Times New Roman" w:eastAsia="Times New Roman" w:hAnsi="Times New Roman"/>
          <w:sz w:val="18"/>
          <w:szCs w:val="18"/>
          <w:color w:val="auto"/>
        </w:rPr>
        <w:t>. In partnership with Vici Health Sciences, LLC (“Vici”), we are co-developing a drug product, CPT60621 – a focus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Parkinson’s Disease. Through this partnership, Vici and Coeptis would co-develop, seek FDA approval and share ownership rights to CPT60621.</w:t>
      </w:r>
    </w:p>
    <w:p>
      <w:pPr>
        <w:spacing w:after="0" w:line="15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CPT60621 – a focus on Parkinson’s Disease</w:t>
      </w:r>
      <w:r>
        <w:rPr>
          <w:rFonts w:ascii="Times New Roman" w:cs="Times New Roman" w:eastAsia="Times New Roman" w:hAnsi="Times New Roman"/>
          <w:sz w:val="18"/>
          <w:szCs w:val="18"/>
          <w:color w:val="auto"/>
        </w:rPr>
        <w:t>. CPT60621 is a novel, ready to use, easy to swallow, oral liquid version of an already approved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for the treatment of Parkinson’s Disease (PD). The currently approved dosage form is only available as an oral solid tablet which can be difficult to swallow for some PD patients. Per Symphony Health data, an estimated 555,000 prescriptions are dispensed per year for the oral solid tablet version alone.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4" w:right="379" w:bottom="1440" w:gutter="0" w:footer="0" w:header="0"/>
        </w:sectPr>
      </w:pPr>
    </w:p>
    <w:bookmarkStart w:id="30" w:name="page31"/>
    <w:bookmarkEnd w:id="30"/>
    <w:p>
      <w:pPr>
        <w:ind w:firstLine="648"/>
        <w:spacing w:after="0" w:line="266" w:lineRule="auto"/>
        <w:rPr>
          <w:sz w:val="20"/>
          <w:szCs w:val="20"/>
          <w:color w:val="auto"/>
        </w:rPr>
      </w:pPr>
      <w:r>
        <w:rPr>
          <w:rFonts w:ascii="Times New Roman" w:cs="Times New Roman" w:eastAsia="Times New Roman" w:hAnsi="Times New Roman"/>
          <w:sz w:val="18"/>
          <w:szCs w:val="18"/>
          <w:color w:val="auto"/>
        </w:rPr>
        <w:t>PD affected nearly 1,000,000 people in the U.S. in 2020, and nearly 10,000,000 people worldwide. Experts also predict that the PD affected rate is expected to increase at a rate of 2.2% per year for the next 10 years. The direct medical cost to treat PD is estimated to be over $25 billion per year, in which $4.1 billion of that is in medication cost alone.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Typical PD symptoms include thinking difficulties, uncontrolled shaking and tremors, loss of automatic movements, rigidity, and eating, speaking, and swallowing difficulties. During the course of their disease, nearly 80% of PD patients will develop a condition known as dysphagia which is defined as difficulty or discomfort in swallowing. Oral liquid dosage forms are easier to swallow than oral solid dosage forms. PD patients who suffer from dysphagia often must crush and dissolve tablets in juice in order to consume their medication. In more extreme cases, feeding tubes are utilized. This is costly to the healthcare system and is simply impractical.</w:t>
      </w:r>
    </w:p>
    <w:p>
      <w:pPr>
        <w:spacing w:after="0" w:line="183" w:lineRule="exact"/>
        <w:rPr>
          <w:sz w:val="20"/>
          <w:szCs w:val="20"/>
          <w:color w:val="auto"/>
        </w:rPr>
      </w:pPr>
    </w:p>
    <w:p>
      <w:pPr>
        <w:jc w:val="both"/>
        <w:ind w:right="520" w:firstLine="648"/>
        <w:spacing w:after="0" w:line="312" w:lineRule="auto"/>
        <w:rPr>
          <w:sz w:val="20"/>
          <w:szCs w:val="20"/>
          <w:color w:val="auto"/>
        </w:rPr>
      </w:pPr>
      <w:r>
        <w:rPr>
          <w:rFonts w:ascii="Times New Roman" w:cs="Times New Roman" w:eastAsia="Times New Roman" w:hAnsi="Times New Roman"/>
          <w:sz w:val="17"/>
          <w:szCs w:val="17"/>
          <w:color w:val="auto"/>
        </w:rPr>
        <w:t>CPT60621 can be administered to the patient using an easy-to-use oral syringe, eliminating time consuming, costly, and uncontrolled tablet crushing. This novel dosage form, if approved, we believe will fulfill a market need and provide a beneficial treatment option for many PD patients.</w:t>
      </w:r>
    </w:p>
    <w:p>
      <w:pPr>
        <w:spacing w:after="0" w:line="14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we continue to direct our operational focus towards the Vy-Gen opportunities described elsewhere herein, we have recently shifted away from allocating priority resources to CPT60621.</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expect to generate revenue from product sales and technology licensing. We cannot be certain of the timing of this revenue and will likely need funding to support continuing operations and support our growth strategy. We may have to finance operations by offering any combination of equity offerings, debt financing, collaborations, strategic alliances, or other licensing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 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To date, we have generated minimal revenue mostly from consulting arrangements and product sales. Due to the COVID-19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and the resulting market dynamics, it is uncertain if the current marketed products can generate sufficient sales to cover expenses. If our strategic business discussions progress to agreements, we expect to generate additional revenue from collaboration partners.</w:t>
      </w:r>
    </w:p>
    <w:p>
      <w:pPr>
        <w:spacing w:after="0" w:line="17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General and administrative expenses consist primarily of salaries and related costs for personnel and professional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services related to regulatory, pharmacovigilance, quality, legal, and business development. We expect that our general and administrative expenses will increase in the future as we increase our headcount to support the business growth. We also anticipate that we will incur increased accounting, audit, legal, regulatory, compliance, insurance, and investor relation expenses associated with operating as a public company.</w:t>
      </w:r>
    </w:p>
    <w:p>
      <w:pPr>
        <w:spacing w:after="0" w:line="180"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Costs</w:t>
      </w:r>
      <w:r>
        <w:rPr>
          <w:rFonts w:ascii="Times New Roman" w:cs="Times New Roman" w:eastAsia="Times New Roman" w:hAnsi="Times New Roman"/>
          <w:sz w:val="18"/>
          <w:szCs w:val="18"/>
          <w:color w:val="auto"/>
        </w:rPr>
        <w:t>. Research and developments costs will continue to be dependent on the strategic business collaborations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will are anticipating in the future. We expect development costs to increase to support our new strategic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twelve months ended December 31, 2021 and December 31, 2020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which were generated from consulting services of $75,000 and $14,561 recorded in the twelve months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and 2020 respectively, continue to be minimal. The Company’s activities primarily include product development, raising capital, and building infrastructure. Management does not expect the Company to generate any significant revenue for at least the next two years, during which time drug development will continue toward the goal of commercializing, through a partnership or otherwise, one or more of the Company’s target products or technologies.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Overview</w:t>
      </w:r>
      <w:r>
        <w:rPr>
          <w:rFonts w:ascii="Times New Roman" w:cs="Times New Roman" w:eastAsia="Times New Roman" w:hAnsi="Times New Roman"/>
          <w:sz w:val="18"/>
          <w:szCs w:val="18"/>
          <w:color w:val="auto"/>
        </w:rPr>
        <w:t>. Operating expenses increased from $5,927,947 in the twelve months ended December 31, 2020 to $14,308,066 in the twelve months ended December 31, 2021. The increase is mainly due to higher professional services fees, as well as new requirements for D&amp;O insurance.</w:t>
      </w:r>
    </w:p>
    <w:p>
      <w:pPr>
        <w:spacing w:after="0" w:line="162" w:lineRule="exact"/>
        <w:rPr>
          <w:sz w:val="20"/>
          <w:szCs w:val="20"/>
          <w:color w:val="auto"/>
        </w:rPr>
      </w:pPr>
    </w:p>
    <w:p>
      <w:pPr>
        <w:jc w:val="both"/>
        <w:ind w:right="56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color w:val="auto"/>
        </w:rPr>
        <w:t>. For the twelve months ended December 31, 2020 and 2021, general and administrative expenses are included in operating expenses. All costs incurred can be attributed to the planned principal operations of product development, raising capital, and building infrastructure. Management may separate out G&amp;A expenses in 2022, especially if new personnel are hired consistent with the Company’s financial regulatory and filings obligations as a publicly traded entity.</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Interest expense was $148,192 for the twelve months ended December 31, 2020 and was $187,133 for the twelve months ended December 31, 2021. Interest was related to notes payable, which are discussed in detail in the Footnotes to the financial statements, incorporated by reference herein. Management expects that in 2022 and thereafter, interest expense will increase, as it may take on debt from insiders or independent third parties to fund operations either while awaiting receipt of the proceeds of equity capital financings or as a stand-alone strategy in addition to raising capital through equity capital financings.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Comparison of the three months ended March 31, 2022 and March 31, 2021</w:t>
      </w:r>
    </w:p>
    <w:p>
      <w:pPr>
        <w:spacing w:after="0" w:line="22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which were generated from consulting agreements, of $0 and $75,000 recorded in the three months ended March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2021 respectively, continue to be minimal. The Company’s activities primarily include product development, raising capital, and building infrastructure. Management does not expect the Company to generate any significant revenue for at least the next two years, during which time drug development will continue toward the goal of commercializing, through a partnership or otherwise, one or more of the Company’s target products or technologies.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u w:val="single" w:color="auto"/>
          <w:color w:val="auto"/>
        </w:rPr>
        <w:t>Overview</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Operating expenses increased from $1,775,081 in the three months ended March 31, 2021 to $19,179,693 in the three months ended March 31, 2022. The increase is mainly due to higher professional services expense related to equity transactions.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For the three months ended March 31, 2022 and 2021, general and administrative expenses are included in operating expenses. All costs incurred can be attributed to the planned principal operations of product development, raising capital, and building infrastructure. Management may separate out G&amp;A expenses in 2022 and 2021, especially if new personnel are hired consistent with the Company’s financial regulatory and filings obligations as a publicly traded entity.</w:t>
      </w:r>
    </w:p>
    <w:p>
      <w:pPr>
        <w:spacing w:after="0" w:line="17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Interest expense was $55,819 for the three months ended March 31, 2022 and was $34,737 for the three months ended March 31, 2021. Interest was related to notes payable, which are discussed in detail in the Footnotes to the financial statements, incorporated by reference herein. Management expects that in 2022 and thereafter, interest expense will increase, as it may take on debt from insiders or independent third parties to fund operations either while awaiting receipt of the proceeds of equity capital financings or as a stand-alone strategy in addition to raising capital through equity capital financings.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 March 31, 2022</w:t>
      </w:r>
      <w:r>
        <w:rPr>
          <w:rFonts w:ascii="Times New Roman" w:cs="Times New Roman" w:eastAsia="Times New Roman" w:hAnsi="Times New Roman"/>
          <w:sz w:val="18"/>
          <w:szCs w:val="18"/>
          <w:color w:val="auto"/>
        </w:rPr>
        <w:t>. For the period ending March 31, 2022, cash and cash equivalents increased to $2,343,829. During both these time periods,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continues to operate a minimal infrastructure in order to maintain its ability to fund operations, keep full focus on all product development targets and to stay current with all of the Company’s scientist consultants, legal counsel, and accountants. During 2022, we believe that the ability to raise capital through equity transactions will increase liquidity and enable the execution of management’s operating strategy.</w:t>
      </w:r>
    </w:p>
    <w:p>
      <w:pPr>
        <w:spacing w:after="0" w:line="180"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At December 31, 2021</w:t>
      </w:r>
      <w:r>
        <w:rPr>
          <w:rFonts w:ascii="Times New Roman" w:cs="Times New Roman" w:eastAsia="Times New Roman" w:hAnsi="Times New Roman"/>
          <w:sz w:val="18"/>
          <w:szCs w:val="18"/>
          <w:color w:val="auto"/>
        </w:rPr>
        <w:t>. Our company had limited financial resources during the twelve months ended December 31, 2020, with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of just $202,965 at December 31, 2020. Cash and cash equivalents was increased significantly at December 31, 2021 to $2,179,558, as we raised capital in connection with a private placement that terminated in December 2021. We continue to operate a minimal infrastructure, in order to maintain our ability to fund operations, keep full focus on all product development targets and to stay current with all of our scientist consultants, legal counsel and accountants.</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At December 31, 2020</w:t>
      </w:r>
      <w:r>
        <w:rPr>
          <w:rFonts w:ascii="Times New Roman" w:cs="Times New Roman" w:eastAsia="Times New Roman" w:hAnsi="Times New Roman"/>
          <w:sz w:val="18"/>
          <w:szCs w:val="18"/>
          <w:color w:val="auto"/>
        </w:rPr>
        <w:t>. At December 31, 2020, we had cash and cash equivalents of $202,965. On such date we did not possess sufficient working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to fund our planned operations. During the year ended December 31, 2020, we borrowed funds from two of Coeptis’ former shareholders in the aggregate amount of $1 million (which amounts were subsequently converted into equity and are no longer outstanding debt obligations of our company). After deploying these funds, we had accumulated an accounts payable balance of $1,623,840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originally incorporated in the State of Colorado in 1996 under the name Nelx Marketing Inc., and then changed our name to Mind 2 Market, Inc. (1996), then to Health Partnership, Inc. (2005), then to Naerodynamics, Inc. (2008). In January 2020, our company redomiciled to the State of Delaware and changed corporate name to NDYN Merger Corp. In February 2020, NDYN Merger Corp. enacted a Holding Company Reorganization pursuant to Section 251(g) of the Delaware General Corporation Law and, in connection therewith, changed our corporate name to Vinings Holdings, Inc. Effective July 12, 2021, our corporate name changed to “Coeptis Therapeutics, Inc.” and our trading symbol changed to “COEP.”</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Vinings Merger Transaction</w:t>
      </w:r>
      <w:r>
        <w:rPr>
          <w:rFonts w:ascii="Times New Roman" w:cs="Times New Roman" w:eastAsia="Times New Roman" w:hAnsi="Times New Roman"/>
          <w:sz w:val="18"/>
          <w:szCs w:val="18"/>
          <w:color w:val="auto"/>
        </w:rPr>
        <w:t>. On February 12, 2021, Coeptis Acquisition Sub, Inc. (“Acquisition Corp.”), a wholly-owned subsidiary of our Predecessor,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merged (the “2021 Merger”) with and into Coeptis Pharmaceuticals, Inc., a Delaware corporation (“Acquired Coeptis”). Acquired Coeptis was the surviving corporation of the 2021 Merger. As a result of the 2021 Merger, our company acquired the business of Acquired Coeptis and now continues the existing business operations of Acquired Coeptis as a wholly-owned subsidiary. Simultaneously with the closing of the 2021 Merger, all of the issued and outstanding shares of Acquired Coeptis common stock converted, on a 1-for-1 basis, into shares of our company’s common stock. As of the closing of the 2021 Merger, there were no Acquired Coeptis options or warrants outstanding to purchase shares of Acquired Coeptis common stock.</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the 2021 Merger, Predecessor was a “shell company,” as defined in Rule 12b-2 of the Securities Exchange Act of 1934. Descriptions of our company’s business in this prospectus relate to the historical business operations of Acquired Coeptis, unless the context requires otherwise.</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Acquired Coeptis</w:t>
      </w:r>
      <w:r>
        <w:rPr>
          <w:rFonts w:ascii="Times New Roman" w:cs="Times New Roman" w:eastAsia="Times New Roman" w:hAnsi="Times New Roman"/>
          <w:sz w:val="18"/>
          <w:szCs w:val="18"/>
          <w:color w:val="auto"/>
        </w:rPr>
        <w:t>. Coeptis Pharmaceuticals, Inc. was formed in November 2018, and its sole subsidiary, Coeptis Pharmaceuticals, LLC, was formed in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Through our subsidiaries, we focus on the development and/or acquisition of pharmaceutical products and technologies which offer improvements to current therapies, thereby improving patient outcomes.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current business model is designed around furthering the development of our current product portfolio. We are continually exploring partnership opportunities with companies that have novel therapies in various stages of development or companies with technologies that improve the way that drugs are delivered to patients. We will continue to seek the best strategic relationships for our portfolio, which relationships could include in-license agreements, out-license agreements, co-development arrangements and other strategic partnerships in new and exciting therapeutic areas such as auto-immune disease and oncology.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for Product Development – Research and Development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Vy-Gen Bio, Inc</w:t>
      </w:r>
      <w:r>
        <w:rPr>
          <w:rFonts w:ascii="Times New Roman" w:cs="Times New Roman" w:eastAsia="Times New Roman" w:hAnsi="Times New Roman"/>
          <w:sz w:val="18"/>
          <w:szCs w:val="18"/>
          <w:color w:val="auto"/>
        </w:rPr>
        <w:t>. In May 2021, we entered into two exclusive option agreements (the “CD38 Agreements”) relating to separate technologies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designed to improve the treatment of CD38-related cancers (e.g., multiple myeloma, chronic lymphocytic leukemia, and acute myeloid leukemia) with VyGen-Bio, Inc. (“Vy-Gen”), a majority-owned subsidiary of Vycellix, Inc., a Tampa, Florida-based private, immuno-centric discovery life science company focused on the development of transformational platform technologies to enhance and optimize next-generation cell and gene-based therapies, including T cell and Natural Killer (NK) cell-based cancer therapies. In August 2021, we exercised those two options and acquired a 50% ownership interest in such technologies, with the ownership interest scalable down to 20% under certain circumstances. In December 2021, we completed our purchase of the 50% ownership interest in the CD38-Diagnostic and adjusted the downward adjustment percentage for the CD38-GEAR-NK product candidate to 25%.</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CD38 Agreements relate to two separate Vy-Gen drug product candidates, as follows:</w:t>
      </w:r>
    </w:p>
    <w:p>
      <w:pPr>
        <w:spacing w:after="0" w:line="225" w:lineRule="exact"/>
        <w:rPr>
          <w:sz w:val="20"/>
          <w:szCs w:val="20"/>
          <w:color w:val="auto"/>
        </w:rPr>
      </w:pPr>
    </w:p>
    <w:p>
      <w:pPr>
        <w:ind w:left="740" w:hanging="365"/>
        <w:spacing w:after="0" w:line="261"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CD38-GEAR-NK</w:t>
      </w:r>
      <w:r>
        <w:rPr>
          <w:rFonts w:ascii="Times New Roman" w:cs="Times New Roman" w:eastAsia="Times New Roman" w:hAnsi="Times New Roman"/>
          <w:sz w:val="18"/>
          <w:szCs w:val="18"/>
          <w:color w:val="auto"/>
        </w:rPr>
        <w:t>. This Vy-Gen drug product candidate is designed to protect CD38+ NK cells from destruction by anti-CD38 monoclonal antibodies, or mAbs. CD38-GEAR-NK is an autologous, NK cell-based therapeutic that is derived from a patient’s own cells and gene-edited to enable combination therapy with anti-CD38 mAbs. We believe CD38-GEAR-NK possesses the potential to minimize the risks and side effects from CD38-positive NK cell fratricide.</w:t>
      </w:r>
    </w:p>
    <w:p>
      <w:pPr>
        <w:spacing w:after="0" w:line="179" w:lineRule="exact"/>
        <w:rPr>
          <w:sz w:val="20"/>
          <w:szCs w:val="20"/>
          <w:color w:val="auto"/>
        </w:rPr>
      </w:pPr>
    </w:p>
    <w:p>
      <w:pPr>
        <w:jc w:val="both"/>
        <w:ind w:left="740" w:right="20"/>
        <w:spacing w:after="0" w:line="266" w:lineRule="auto"/>
        <w:rPr>
          <w:sz w:val="20"/>
          <w:szCs w:val="20"/>
          <w:color w:val="auto"/>
        </w:rPr>
      </w:pPr>
      <w:r>
        <w:rPr>
          <w:rFonts w:ascii="Times New Roman" w:cs="Times New Roman" w:eastAsia="Times New Roman" w:hAnsi="Times New Roman"/>
          <w:sz w:val="18"/>
          <w:szCs w:val="18"/>
          <w:color w:val="auto"/>
        </w:rPr>
        <w:t>Market Opportunity. We believe CD38-GEAR-NK could potentially revolutionize how CD38-related cancers are treated, by protecting CD38+ NK cells from destruction by anti-CD38 mAbs, thereby promoting the opportunity to improve the treatment of CD38-related cancers, including multiple myeloma, chronic lymphocytic leukemia, and acute myeloid leukemia.</w:t>
      </w:r>
    </w:p>
    <w:p>
      <w:pPr>
        <w:spacing w:after="0" w:line="175" w:lineRule="exact"/>
        <w:rPr>
          <w:sz w:val="20"/>
          <w:szCs w:val="20"/>
          <w:color w:val="auto"/>
        </w:rPr>
      </w:pPr>
    </w:p>
    <w:p>
      <w:pPr>
        <w:ind w:left="740" w:right="20"/>
        <w:spacing w:after="0" w:line="282" w:lineRule="auto"/>
        <w:rPr>
          <w:sz w:val="20"/>
          <w:szCs w:val="20"/>
          <w:color w:val="auto"/>
        </w:rPr>
      </w:pPr>
      <w:r>
        <w:rPr>
          <w:rFonts w:ascii="Times New Roman" w:cs="Times New Roman" w:eastAsia="Times New Roman" w:hAnsi="Times New Roman"/>
          <w:sz w:val="18"/>
          <w:szCs w:val="18"/>
          <w:color w:val="auto"/>
        </w:rPr>
        <w:t>Multiple myeloma is expected to be the first cancer indication targeted with CD38-GEAR-NK. The global multiple myeloma market was $19.48B in 2018 and is expected to reach $31B by 2026 [Source: Fortune Business Reports].</w:t>
      </w:r>
    </w:p>
    <w:p>
      <w:pPr>
        <w:spacing w:after="0" w:line="161" w:lineRule="exact"/>
        <w:rPr>
          <w:sz w:val="20"/>
          <w:szCs w:val="20"/>
          <w:color w:val="auto"/>
        </w:rPr>
      </w:pPr>
    </w:p>
    <w:p>
      <w:pPr>
        <w:ind w:left="740" w:hanging="365"/>
        <w:spacing w:after="0" w:line="258"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CD38-Diagnostic</w:t>
      </w:r>
      <w:r>
        <w:rPr>
          <w:rFonts w:ascii="Times New Roman" w:cs="Times New Roman" w:eastAsia="Times New Roman" w:hAnsi="Times New Roman"/>
          <w:sz w:val="18"/>
          <w:szCs w:val="18"/>
          <w:color w:val="auto"/>
        </w:rPr>
        <w:t>. This Vy-Gen drug product candidate is an in vitro diagnostic tool to analyze if cancer patients might be appropriate candidates for anti-CD38 mAb therapy. CD38-Diagnostic is an in vitro screening tool that is intended to provide the ability to pre-determine which cancer patients are most likely to benefit from targeted anti-CD38 mAb therapies, either as monotherapy or in combination with CD38-GEAR-NK. Our management believes that CD38-Diagnostic also has the potential to develop as a platform technology beyond CD38, including to identify patients likely to benefit for broad range of mAb therapies across myriad indications.</w:t>
      </w:r>
    </w:p>
    <w:p>
      <w:pPr>
        <w:spacing w:after="0" w:line="183"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Market Opportunity. We believe CD38-Diagnostic provides opportunity to make more cost-effective medical decisions for the treatment of B cell malignancies with high CD38 expression, including multiple myeloma, which may help to avoid unnecessary administration of anti-CD38 therapies. CD38-Diagnostic is anticipated to reduce the number of patients that are subjected to ineffective therapy and to potentially result in significant savings to healthcare systems.</w:t>
      </w:r>
    </w:p>
    <w:p>
      <w:pPr>
        <w:spacing w:after="0" w:line="179" w:lineRule="exact"/>
        <w:rPr>
          <w:sz w:val="20"/>
          <w:szCs w:val="20"/>
          <w:color w:val="auto"/>
        </w:rPr>
      </w:pPr>
    </w:p>
    <w:p>
      <w:pPr>
        <w:ind w:left="740" w:right="20"/>
        <w:spacing w:after="0" w:line="282" w:lineRule="auto"/>
        <w:rPr>
          <w:sz w:val="20"/>
          <w:szCs w:val="20"/>
          <w:color w:val="auto"/>
        </w:rPr>
      </w:pPr>
      <w:r>
        <w:rPr>
          <w:rFonts w:ascii="Times New Roman" w:cs="Times New Roman" w:eastAsia="Times New Roman" w:hAnsi="Times New Roman"/>
          <w:sz w:val="18"/>
          <w:szCs w:val="18"/>
          <w:color w:val="auto"/>
        </w:rPr>
        <w:t>CD38-Diagnostic is viewed as a potential companion diagnostic for determining patient suitability and likelihood of positive treatment outcomes for CD38-GEAR-NK and/or CD38 monoclonal antibody therapies.</w:t>
      </w:r>
    </w:p>
    <w:p>
      <w:pPr>
        <w:spacing w:after="0" w:line="162"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u w:val="single" w:color="auto"/>
          <w:color w:val="auto"/>
        </w:rPr>
        <w:t>GEAR-NK Product Overview</w:t>
      </w:r>
      <w:r>
        <w:rPr>
          <w:rFonts w:ascii="Times New Roman" w:cs="Times New Roman" w:eastAsia="Times New Roman" w:hAnsi="Times New Roman"/>
          <w:sz w:val="18"/>
          <w:szCs w:val="18"/>
          <w:color w:val="auto"/>
        </w:rPr>
        <w:t>. GEAR-NK is an autologous, gene-edited, natural killer cell-based therapeutic development platform that allows for modified NK cells to be co-administered with targeted mAbs, which, in the absence of the GEAR-NK, would otherwise be neutralized by mAb therapy.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2021, we made initial payments totaling $750,000 under the CD38 Agreements, to acquire the exclusive options to acquire co-development rights with respect to CD38-GEAR-NK and CD38-Diagnostic. On August 15, 2021, we entered into amendments to each of the CD038 Agreements. In connection with the two amendments, we delivered to VyGen promissory notes aggregating $3,250,000 with maturity dates of December 31, 2021, and made a cash payment of $1,000,000, upon which cash payment we exercised the two definitive option purchase agreements. In December 2021, we completed our payment obligations to secure the 50% ownership interest in the CD38-Diagnostic, and also entered into an amendment of the CD038-GEAR-NK promissory note to extend the maturity date to March 31, 2022 and to increase the scalable downward adjustment percentage for the CD38-GEAR-NK product candidate to 25%. Pursuant to the CD038-GEAR-NK amendment, if the promissory note is timely paid by March 31, 2022, Coeptis will maintain its 50% ownership interest in the CD38-GEAR-NK product candidate, and if the CD38-GEAR-NK promissory note is not timely paid by March 31, 2022, Coeptis’ ownership interest in such assets will automatically be reduced to 25% and the promissory note will be automatically cancelled and will no longer be due or payable. Details of the two August amendments and the December amendment are summarized in the amendments attached at Exhibits 4.1 and 4.2 to our Current Report on Form 8-K dated August 19, 2021 and Exhibits 4.2 to the our Current Report on Form 8-K dated December 27, 2021.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Vy-Gen relationship and the Company’s ownership in the two product candidates described above, in December 2021 the Company and Vy-Gen entered into a co-development and steering committee agreement. The co-development and steering committee agreement provides for the governance and economic agreements between the Company and Vy-Gen related of the development of the two Vy-Gen drug product candidates and the revenue sharing related thereto, including each company having a 50% representation on the steering committee and each company receiving 50% of the net revenues related to the Vy-Gen product candidates (scalable downward to 25% for the CD38-GEAR-NK as described above). Details of the co-development and steering committee agreement are summarized in our Current Report on Form 8-K dated December 27, 2021, including Exhibits 4.1 and 4.2 thereto.</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Statera BioPharma</w:t>
      </w:r>
      <w:r>
        <w:rPr>
          <w:rFonts w:ascii="Times New Roman" w:cs="Times New Roman" w:eastAsia="Times New Roman" w:hAnsi="Times New Roman"/>
          <w:sz w:val="18"/>
          <w:szCs w:val="18"/>
          <w:color w:val="auto"/>
        </w:rPr>
        <w:t>. Coeptis executed a binding Letter of Intent (LOI) with Statera BioPharma, a clinical stage biopharmaceutical company developing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immunotherapy via its proprietary AIMS platform. The LOI details a collaboration between the two companies for STAT-201, a product in development for Crohn’s disease. Coeptis is to assist Statera BioPharma in its efforts to develop and commercialize STAT-201 in adult and pediatric populations. Coeptis is to receive development fees and commercial milestones under the to-be-completed definitive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Vici Health Sciences, LLC</w:t>
      </w:r>
      <w:r>
        <w:rPr>
          <w:rFonts w:ascii="Times New Roman" w:cs="Times New Roman" w:eastAsia="Times New Roman" w:hAnsi="Times New Roman"/>
          <w:sz w:val="18"/>
          <w:szCs w:val="18"/>
          <w:color w:val="auto"/>
        </w:rPr>
        <w:t>. In 2019, Coeptis entered into a co-development agreement with Vici Health Sciences, LLC (“Vici”). Through this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Vici and Coeptis would co-develop, seek FDA approval and share ownership rights to CPT60621, a novel, ready to use, easy to swallow, oral liquid version of an already approved drug used for the treatment of Parkinson’s Disease (PD). As Coeptis continues to direct its operational focus towards the Vy-Gen opportunities previously described, we have recently stopped allocating priority resources to the development of CPT60621. Coeptis and Vici are currently in negotiations in which Vici intends to buy-out most or all of Coeptis’ remaining ownership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do not have in-house commercial capabilities required to market and distribute FDA-approved products. Therefore, we will be required to partner with firms who are capable of conducting all sales, marketing, distribution, contracting and pricing for our future products. There is assurance that we will be able to secure the services of such a firm or that any such firm will be able to achieve sales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achieve our goals, Coeptis intends to deploy an aggressive, four-pronged, growth strategy listed below that we believe will help us maximize our success and deleverage some of the risk of finding, solely developing and funding our own products.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Strategic Partnerships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will focus on expanding our existing pipeline through establishing strategic partnerships with companies that have interesting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technologies. We intend to focus on novel, early-stage and preclinical assets in a variety of therapeutic areas, including oncology and autoimmune diseases. In connection with our strategic partnership growth strategy, as discussed elsewhere in this Offering Memorandum, we recently entered into two option purchase agreements regarding a co-development opportunity for two early-stage product candidates, as disclosed in and discussed in our Current Report on Form 8-K that was filed on May 11, 2021.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Business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will continue to seek to for acquisition, investment or partnering novel products and technologies that we believe will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 outcomes. We will seek to identify companies with products and technologies that are seeking assistance in developing and commercializing these assets. We will assess the commercial market opportunities for all potential products and technologies to determine if there are enough advantages to allow them to be viable, if they are developed.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Portfolio Optimization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will continue to evaluate, prioritize, optimize, and make appropriate changes in our pipeline portfolio as market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and/or product opportunities change. For example, it may be a strategic business decision for us to divest certain products and/or agreements to other companies so it can best focus on its core assets.</w:t>
      </w:r>
    </w:p>
    <w:p>
      <w:pPr>
        <w:spacing w:after="0" w:line="17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Commercial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While not a current key focus of our company, we will continue to analyze opportunities to participate and assist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development activities directly or with strategic partners. Commercial development activities may include, but are not limited to, clinical development, CMC manufacturing, supply chain management, market research, healthcare economics, market access, sales/marketing, and commercial launch strategies.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Prospective Bull Horn Merger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recently entered into the Bull Horn Merger Agreement related to the Bull Horn Merger. This section describes the material provisions of the Bull Horn Merger Agreement (as defined below) but does not purport to describe all of the terms thereof. The following summary is qualified in its entirety by reference to the complete text of the Bull Horn Merger Agreement, a copy of which is attached hereto as Exhibit 2.1. to the Company’s Current Report on Form 8-K that was filed with the SEC on April 19, 2022. Capitalized terms used below are defined in the Bull Horn Merger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Terms and Effects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18, 2022, Coeptis, Bull Horn and BH Merger Sub Inc. entered into the Bull Horn Merger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Bull Horn Merger Agreement, subject to the terms and conditions set forth therein, (i) prior to the Closing (as defined below), Bull Horn will re-domicile from the British Virgin Islands to the State of Delaware through a statutory re-domestication (the “Domestication”), and (ii) upon the consummation of the transactions contemplated by the Merger Agreement (the “Closing”), Merger Sub will merge with and into Coeptis (the “Bull Horn Merger” and, together with the Domestication and the other transactions contemplated by the Bull Horn Merger Agreement, the “Transactions”), with Coeptis continuing as the surviving corporation in the Merger and a wholly-owned subsidiary of Bull Horn (after the Domestication).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Bull Horn Merger, all outstanding shares of Coeptis preferred stock will convert or exchange their shares of preferred stock for shares of Coeptis common stock at the applicable ratio in Coeptis organizational documents (the “Preferred Stock Exchange”).</w:t>
      </w:r>
    </w:p>
    <w:p>
      <w:pPr>
        <w:spacing w:after="0" w:line="16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the Bull Horn Merger, (i) all shares of Coeptis common stock issued and outstanding immediately prior to the effective time of the Bull Horn Merger (other than those properly exercising any applicable dissenters rights under Delaware law), but after giving effect to the Preferred Stock Exchange, will be converted into the right to receive a portion of the Merger Consideration (as defined below), (ii) certain issued and outstanding warrants to acquire shares of Coeptis stock (the “Specified Warrants”) will be assumed by Bull Horn and converted into a warrant for shares of Bull Horn common stock with its price and number of shares equitably adjusted based on the conversion of the shares of Coeptis common stock into the Merger Consideration (each, an “Assumed Warrant”), (iii) certain outstanding convertible debt of Coeptis (the “Coeptis Convertible Debt”) will be assumed by Bull Horn and be convertible into common stock of Bull Horn (the “Assumed Convertible Debt”) and (iv) any other outstanding securities with the right to convert into or acquire equity securities of Coeptis or its subsidiaries will be terminated. At the Closing, Bull Horn will change its name to “Coeptis Therapeutics Holdings, Inc.”.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merger consideration received by Coeptis security holders from Bull Horn at the Closing will have an aggregate value equal to (the “Merger Consideration”) (i) $175,000,000, minus (or plus if positive), (ii) the amount of Coeptis’ outstanding indebtedness as of immediately prior to the Closing (excluding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Bull Horn common stock, with each share of Bull Horn common stock valued at the price per share (the “Redemption Price”) at which each Bull Horn share of common stock is redeemed or converted pursuant to the redemption by Bull Horn of its public shareholders in connection with Bull Horn’s initial business combination, as required by its amended and restated memorandum and articles of association and Bull Horn’s initial public offering prospectus (the “Closing Redemption”), and (b) with respect to the holders of the Specified Warrants, by the assumption of such warrants by Bull Horn as Assumed Warrants. 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Coeptis Convertible Debt, along with (i) certain other outstanding indebtedness of Coeptis as of the date of the Bull Horn Merger Agreement (which together with the Coeptis Convertible Debt, has aggregate outstanding obligations of approximately $3.9 million as of the date of the Merger Agreement), and (ii) certain other indebtedness that Coeptis is permitted to incur between the signing of the Merger Agreement and the Closing, will not affect the Merger Consideration payable to Coeptis security holders (the Coeptis Convertible Debt and such other indebtedness, “Permitted Debt”).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Bull Horn Merger Agreement contains a number of representations and warranties by each of Bull Horn and Coeptis as of the date of the Bull Horn Merger Agreement and as of the date of the Closing. Many of the representations and warranties are qualified by materiality or Material Adverse Effect. “Material Adverse Effect” as used in the Bull Horn Merger Agreement means with respect to any specified person or entity, any fact, event, occurrence, change or effect that has had or would reasonably be expected to have, individually or in the aggregate, a material adverse effect on (a) the business, assets, liabilities, results of operations, prospects or condition (financial or otherwise) of such person or entity and its subsidiaries, taken as a whole, or (b) the ability of such person or entity or any of its subsidiaries on a timely basis to consummate the transactions contemplated by the Bull Horn Merger Agreement or the ancillary documents to which it is a party or bound or to perform its obligations thereunder, in each case subject to certain customary exceptions. Certain of the representations are subject to specified exceptions and qualifications contained in the Bull Horn Merger Agreement or in information provided pursuant to certain disclosure schedules to the Bull Horn Merger Agreement. Certain representations made by Coeptis for periods prior to February 12, 2021, the date that it completed a reverse merger with a public shell, are given to its actual knowledge as it relates to itself, but not its subsidiaries. The representations and warranties made by Bull Horn and Coeptis are customary for transactions similar to the Transactions.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 Survival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of the parties contained in the Bull Horn Merger Agreement terminate as of, and do not survive, the Closing, and there are no indemnification rights for another party’s breach. The covenants and agreements of the parties contained in the Bull Horn Merger Agreement do not survive the Closing, except those covenants and agreements to be performed after the Closing, which covenants and agreements will survive until fully performed.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i w:val="1"/>
          <w:iCs w:val="1"/>
          <w:color w:val="auto"/>
        </w:rPr>
        <w:t>Covenants of the Parties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party agreed in the Bull Horn Merger Agreement to use its commercially reasonable efforts to effect the Closing. The Bull Horn Merger Agreement also contains certain customary covenants by each of the parties during the period between the signing of the Bull Horn Merger Agreement and the earlier of the Closing or the termination of the Bull Horn Merger Agreement in accordance with its terms (the “Interim Period”), including (1) the provision of access to their properties, books and personnel; (2) the operation of their respective businesses in the ordinary course of business; (3) provision of financial statements by Coeptis; (4) Bull Horn’s public filings; (5) no insider trading; (6) notifications of certain consent requirements or other matters; (7) efforts to consummate the Closing and obtain third party and regulatory approvals; (8) tax matters; (9) further assurances; (10) public announcements; (11) confidentiality; (12) stock exchange listing requirements; and (13) the Domestication. Each party also agreed during the Interim Period not to solicit, assist, initiate, facilitate or knowingly encourage any proposal or offer, or enter into any agreement for, an alternative competing transaction, to notify the others as promptly as practicable in writing of the receipt of any proposals or offers or requests for information relating to an alternative competing transaction or any requests for non-public information relating to such transaction, and to keep the others informed of the status of any such requests, proposals or offers. The parties also agreed that if they together decide in good faith during the Interim Period that financing is reasonably required prior to the Closing, they will reasonably cooperate to obtain financing. There are also certain customary post-Closing covenants regarding indemnification of directors and officers; and use of trust account proceeds.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Bull Horn Merger Agreement and the consummation of the Transactions requires the approval of both Bull Horn’s shareholders and Coeptis’s stockholders. Bull Horn agreed, as promptly as practicable after the date of the Bull Horn Merger Agreement, to prepare, with reasonable assistance from Coeptis, and file with the U.S. Securities and Exchange Commission (the “SEC”), a registration statement on Form S-4 (as amended, the “Registration Statement”) in connection with the registration under the Securities Act of 1933, as amended (the “Securities Act”), of the issuance of the shares of Bull Horn common stock to be issued to the Coeptis stockholders, and the deemed reissuance of Bull Horn securities to Bull Horn’s security holders as a result of the Domestication, and containing a proxy statement/prospectus for the purpose of Bull Horn soliciting proxies from the shareholders of Bull Horn to approve the Bull Horn Merger Agreement, the Domestication, the Transactions and related matters (the “Bull Horn Shareholder Approval”) at a special meeting of Bull Horn’s shareholders (the “Bull Horn Special Meeting”) and providing such shareholders an opportunity to participate in the Closing Redemption. The Bull Horn Shareholder Approval will also include approval by Bull Horn’s stockholders of (i) the adoption of a new equity incentive plan (in a form to be agreed by the parties during the Interim Period) which will have available for issuance thereunder new awards equal to 10% of the issued and outstanding shares of Bull Horn immediately after the Closing and (ii) an amendment to Bull Horn’s organizational documents effective as of the Closing in a form to be agreed by the parties to, among other matters, change Bull Horn’s name to “Coeptis Therapeutics Holdings, Inc.”, remove the blank check company provisions and generally have terms that are more reflective of customary public company organizational documents. Coeptis also agreed in the Bull Horn Merger Agreement to call a meeting of its shareholders as promptly as practicable after the Registration Statement has become effective and use its reasonable best efforts to solicit from Coeptis Stockholders proxies in favor of the Bull Horn Merger Agreement and the Transactions and certain related matters (the “Coeptis Stockholder Approval”), and to take all other actions necessary or advisable to secure such approvals, including enforcing the Voting Agreement (as described below).</w:t>
      </w:r>
    </w:p>
    <w:p>
      <w:pPr>
        <w:spacing w:after="0" w:line="1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parties also agreed to take all necessary action, so that effective at the Closing, the entire board of directors of Bull Horn (the “Post-Closing Board”) will consist of seven individuals, a majority of whom shall be independent directors in accordance with Nasdaq requirements. Two of the members of the Post-Closing Board will be individuals (at least one of whom shall be an independent director) designated by Bull Horn prior to the Closing and the remaining five members of the Post-Closing Board (at least three of whom shall be independent directors) will be designated by Coeptis prior to the Closing. At or prior to Closing, Bull Horn will provide each of the directors with a customary director indemnification agreement, in form and substance reasonably acceptable to such director. The parties also agreed to take all action necessary, so that the individuals serving as chief executive officer and chief financial officer, respectively, of Bull Horn immediately after Closing will be the same individuals as that of Coeptis immediately prior to the Closing.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i w:val="1"/>
          <w:iCs w:val="1"/>
          <w:color w:val="auto"/>
        </w:rPr>
        <w:t>Closing Conditions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Bull Horn Merger Agreement contains customary conditions to Closing, including the following mutual conditions of the parties (unless waived): (i) the Bull Horn Shareholder Approval; (ii) the Coeptis Stockholder Approval; (iii) approvals of any required governmental authorities and completion of any antitrust expiration periods; (iv) receipt of specified third party consents; (v) no law or order preventing the Transactions; (vi) the satisfaction of the $5,000,001 minimum net tangible asset test by Bull Horn; (vii) the appointment of the Post-Closing Board and officers of Bull Horn as of the Closing, as noted above; (viii) the Registration Statement having been declared effective by the SEC; and (ix) approval of the Bull Horn common stock for listing on Nasdaq, subject to official notice of issuance.</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unless waived by Coeptis, the obligations of Coeptis to consummate the Transactions are subject to the satisfaction of the following additional Closing conditions, in addition to the delivery by Bull Horn of customary certificates and other Closing deliverables: (i) the representations and warranties of Bull Horn being true and correct as of the date of the Closing, except to the extent made as of a particular date (subject to certain materiality qualifiers);</w:t>
      </w:r>
    </w:p>
    <w:p>
      <w:pPr>
        <w:spacing w:after="0" w:line="1" w:lineRule="exact"/>
        <w:rPr>
          <w:sz w:val="20"/>
          <w:szCs w:val="20"/>
          <w:color w:val="auto"/>
        </w:rPr>
      </w:pPr>
    </w:p>
    <w:p>
      <w:pPr>
        <w:jc w:val="both"/>
        <w:ind w:firstLine="8"/>
        <w:spacing w:after="0" w:line="253" w:lineRule="auto"/>
        <w:tabs>
          <w:tab w:leader="none" w:pos="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Bull Horn and Merger Sub having performed in all material respects their respective obligations and complied in all material respects with their respective covenants and agreements under the Bull Horn Merger Agreement required to be performed or complied with by them on or prior to the date of the Closing; (iii) the absence of any Material Adverse Effect with respect to Bull Horn since the date of the Bull Horn Merger Agreement which is continuing and uncured.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Unless waived by Bull Horn, the obligations of Bull Horn and Merger Sub to consummate the Transactions are subject to the satisfaction of the following additional Closing conditions, in addition to the delivery by Coeptis of customary certificates and other Closing deliverables: (i) the representations and warranties of Coeptis being true and correct as of the date of the Closing, except to the extent made as of a particular date (subject to certain materiality qualifiers); (ii) Coeptis having performed in all material respects its obligations and complied in all material respects with its covenants and agreements under the Bull Horn Merger Agreement required to be performed or complied with or by it on or prior to the date of the Closing; (iii) the absence of any Material Adverse Effect with respect to Coeptis since the date of the Bull Horn Merger Agreement which is continuing and uncured; and (iv) the delivery by Coeptis of executed (A) non-competition and non-solicitation agreements from certain key stockholders of Coeptis with a restricted period of four years after the Closing based on the business conducted by Coeptis as of the Closing and otherwise in a form to be agreed by the parties prior to the Closing, (B) lock-up agreements from Coeptis stockholders that are officers, directors or 5% stockholders of Coeptis to subject their Merger Consideration to a lock-up for a period substantially identical to the lock-up period agreed to by Bull Horn’s sponsor with respect its founder shares at the time of Bull Horn’s initial public offering and otherwise in a form to be agreed by the parties prior to the Closing, and (C) employment agreements with certain key employees of Coeptis, effective as of the Closing.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Bull Horn Merger Agreement does not include a minimum cash condition.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Bull Horn Merger Agreement may be terminated under certain customary and limited circumstances at any time prior to the Closing, including: (i) by mutual written consent of Bull Horn and Coeptis; (ii) by either Bull Horn or Coeptis if any of the conditions to Closing have not been satisfied or waived by November 3, 2022 (the “Outside Date”); (iii) by either Bull Horn or Coeptis if a governmental authority of competent jurisdiction has issued an order or taken any other action permanently restraining, enjoining or otherwise prohibiting the Transactions, and such order or other action has become final and non-appealable; (iv) by either Bull Horn or Coeptis in the event of the other party’s uncured breach, if such breach would result in the failure of a closing condition and is incapable of being cured or isn’t cured within 30 days after notice of such breach or the Outside Date; (v) by Bull Horn if there has been a Material Adverse Effect on Coeptis and its Subsidiaries taken as a whole following the date of the Bull Horn Merger Agreement that remains uncured and continuing; (vi) by either Bull Horn or Coeptis if the shareholders of Bull Horn do not provide the Bull Horn Shareholder Approval at an extraordinary general shareholder meeting held by Bull Horn; and (vii) by either Bull Horn or Coeptis if Coeptis holds a special meeting of its shareholders for the Coeptis Stockholder Approval and the Coeptis Stockholder Approval is not obtained.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If the Bull Horn Merger Agreement is terminated, all further obligations of the parties under the Bull Horn Merger Agreement (except for certain obligations related to publicity, confidentiality, fees and expenses, trust fund waiver, no recourse, termination and general provisions) will terminate, and no party to the Bull Horn Merger Agreement will have any further liability to any other party thereto except for liability for fraud or for willful breach of the Bull Horn Merger Agreement prior to termination. The Bull Horn Merger Agreement does not provide for any termination fees.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party will be responsible for its own costs and expenses, except that Bull Horn and Coeptis will split any antitrust filing fees and SEC registration fees and other regulatory fees equally.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Trust Account Waiver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Coeptis agreed that it and its affiliates will not have any right, title, interest or claim of any kind in or to any monies in Bull Horn’s trust account held for its public shareholders, and agreed not to, and waived any right to, make any claim against the trust account (including any distributions therefrom).</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Governing Law and Arbitration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Bull Horn Merger Agreement is governed by Delaware law and, subject to the required arbitration provisions, the parties are subject to exclusive jurisdiction of federal and state courts located in Wilmington, Delaware (and any appellate courts thereof). Any disputes under the Bull Horn Merger Agreement, other than claims for injunctive or temporary equitable relief or enforcement of an arbitration award, will be subject to arbitration by the American Arbitration Association, to be held in Wilmington, Delaware.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Bull Horn Merger Agreement and the Transactions does not purport to be complete and is qualified in its entirety by the terms and conditions of the Bull Horn Merger Agreement, a copy of which is filed as Exhibit 2.1 hereto and is incorporated herein by reference.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Bull Horn Merger Agreement contains representations, warranties and covenants that the respective parties made to each other as of the date of such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Bull Horn Merger Agreement has been filed to provide investors with information regarding its terms. It is not intended to provide any other factual information about Bull Horn, Coeptis or any other party to the Merger Agreement. In particular, the representations, warranties, covenants and agreements contained in the Bull Horn Merger Agreement, which were made only for purposes of such agreement and as of specific dates, were solely for the benefit of the parties to the Bull Horn Merger Agreement, may be subject to limitations agreed upon by the contracting parties (including being qualified by confidential disclosures made for the purposes of allocating contractual risk between the parties to the Bull Horn Merger Agreement instead of establishing these matters as facts) and may be subject to standards of materiality applicable to the contracting parties that differ from those applicable to investors and reports and documents filed with the SEC. Investors should not rely on the representations, warranties, covenants and agreements, or any descriptions thereof, as characterizations of the actual state of facts or condition of any party to the Bull Horn Merger Agreement. In addition, the representations, warranties, covenants and agreements and other terms of the Bull Horn Merger Agreement may be subject to subsequent waiver or modification. Moreover, information concerning the subject matter of the representations and warranties and other terms may change after the date of the Bull Horn Merger Agreement, which subsequent information may or may not be fully reflected in Bull Horn’s public disclosures.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u w:val="single" w:color="auto"/>
          <w:color w:val="auto"/>
        </w:rPr>
        <w:t>Related Agreements</w:t>
      </w:r>
    </w:p>
    <w:p>
      <w:pPr>
        <w:spacing w:after="0" w:line="22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Voting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Simultaneously with the execution of the Bull Horn Merger Agreement, certain Coeptis stockholders have entered into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support agreements (the “Voting Agreements”) with Bull Horn and Coeptis. Under the Voting Agreements, the Coeptis stockholder party thereto agreed to vote all of its shares of Coeptis stock in favor of the Bull Horn Merger Agreement and related transactions and to otherwise take certain other actions in support of the Bull Horn Merger Agreement and related transactions and the other matters submitted to Coeptis stockholders for their approval, and to provide a proxy to Bull Horn to vote such Coeptis Stock accordingly. The Voting Agreements prevents transfers of the Coeptis stock held by the applicable Coeptis stockholder between the date of the Voting Agreement and the date of the Closing, except for (i) certain permitted transfers where the recipient also agrees to comply with the Voting Agreement and (ii) two Coeptis shareholders who were each permitted to transfer up to 300,000 shares of Coeptis common stock in open market transactions prior to the Closing. The foregoing description of the Voting Agreement does not purport to be complete and is qualified in its entirety by reference to the complete text of the form of Voting Agreement, a copy which is filed hereto as Exhibit 10.1 the Company’s Current Report on Form 8-K that was field with the SEC on April 19,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elsewhere in this prospectus, there is no guarantee that the Bull Horn Merger is consummated.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we have five employees, of which four are full-time employees, and one is a part-time employee. Our employees are not represented by any labor union or any collective bargaining arrangement with respect to their employment with us. We have never experienced any work stoppages or strikes as a result of labor disputes. We believe that our employee relations are good.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employees have been reporting to work remotely due to the COVID-19 outbreak. Our operations or productivity may continue to be impacted throughout the duration of the COVID-19 outbreak and government-mandated 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a material adverse effect on our business,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and 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May 20, 2021, the names and positions of our executive officers and directors serving as of such date. Directors will be elected at our annual meeting of stockholders and serve for one year or until their successors are elected and qualify. Officers are elected by the Board and their terms of office are, except to the extent governed by employment contract that may be in place from time to time, at the discretion of the Board.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96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tcBorders>
              <w:top w:val="single" w:sz="8" w:color="CCEEFF"/>
            </w:tcBorders>
            <w:shd w:val="clear" w:color="auto" w:fill="CCEEFF"/>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 CEO and President</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Director, Chief Financial Officer and Secretary</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2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Vice President of Operations</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Directors serve until the earlier occurrence of the election of his successor at the next meeting of shareholders, death, resignation or removal by the Board of Directors. Officers serve at the discretion of our Board of Directors. There are no family relationships between or among our directors and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regarding the backgrounds of each of our officers and directors is set forth below.</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David Mehalick – Director, President and Chief Executive Officer: </w:t>
      </w:r>
      <w:r>
        <w:rPr>
          <w:rFonts w:ascii="Times New Roman" w:cs="Times New Roman" w:eastAsia="Times New Roman" w:hAnsi="Times New Roman"/>
          <w:sz w:val="18"/>
          <w:szCs w:val="18"/>
          <w:color w:val="auto"/>
        </w:rPr>
        <w:t>Mr. Mehalick is a successful executive with a career spanning over 30 years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variety of industries including life sciences, technology, financial services, military contracting, entertainment, and consumer products. His career has allowed him deep immersion into all facets of executive management notably mergers and acquisitions, corporate finance, C- Suite management, product development and licensing, partnerships, product commercialization, and corporate communications. Mr. Mehalick has assisted and managed several organizations towards successful investor monetization across all aspects of company evolution resulting in billions of dollars in transactions and financings. Currently, Mr. Mehalick is our Chairman, Chief Executive Officer and President, and one of our co-founders. He has been involved in several companies in a variety of positions and functions prior to Coeptis spanning many different industries. Mr. Mehalick began his career in the financial services industry in the wealth management area before transitioning to investment banking in the early 2000’s. He held positions of Vice President and Senior Vice President at multiple firms notably First Union Capital Markets, Gruntal and Co. and Ferris Baker Watts. He then began working earnestly with companies to assist them in all aspects of growth. He was a founding partner in American Defense Systems, a military contractor designing lightweight antiballistic armor and hardening systems for transportation and solid structures. After procuring several military contracts, the company grew revenues to a point that they became public on the AMEX stock exchange. Throughout his career Mr. Mehalick was involved in numerous similar situations either in a management or consultant role to allow strong returns for shareholders via acquisitions or public strategies.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Christine Sheehy – Director, Chief Financial Officer and Secretary: </w:t>
      </w:r>
      <w:r>
        <w:rPr>
          <w:rFonts w:ascii="Times New Roman" w:cs="Times New Roman" w:eastAsia="Times New Roman" w:hAnsi="Times New Roman"/>
          <w:sz w:val="18"/>
          <w:szCs w:val="18"/>
          <w:color w:val="auto"/>
        </w:rPr>
        <w:t>Christine Sheehy is a pharmaceutical business leader with over 25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including globally commercializing drug products and working in development of targeted therapeutics including cell and gene therapies. Ms. Sheehy was Senior Vice-President of Operations for Kadmon Pharmaceuticals, leading the global supply chain, distribution, and IT organizations. She was a founding employee of start-up pharmaceutical company Three Rivers Pharmaceuticals, which was acquired by Kadmon Pharmaceuticals in 2010. During that time, she launched branded and generic products in the U.S., leading the operational business. Globally, Ms. Sheehy has executed international supply and distribution partnerships in Europe and Asia. Prior to Three Rivers Pharmaceuticals, Ms. Sheehy held various roles ranging from business and finance consulting to financial management. Strategically minded, with a strong ability to understand all aspects of the business, her leadership skills have been developed by working substantially in start-ups and early-stage companies. Additionally, over the past 15 years Ms. Sheehy has held board of director and advisory positions for multiple industry organizations, and she holds a bachelor’s degree in accounting from Penn State University.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Daniel Yerace – Director and Vice President of Operations: </w:t>
      </w:r>
      <w:r>
        <w:rPr>
          <w:rFonts w:ascii="Times New Roman" w:cs="Times New Roman" w:eastAsia="Times New Roman" w:hAnsi="Times New Roman"/>
          <w:sz w:val="18"/>
          <w:szCs w:val="18"/>
          <w:color w:val="auto"/>
        </w:rPr>
        <w:t>Dan Yerace is a co-founder of Coeptis Pharmaceuticals and serves as the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Mr. Yerace has over ten years of experience in the pharmaceutical industry and is a key strategist responsible for supply chain management, business development, portfolio management, and corporate strategy. Mr. Yerace has broad operational experience and has held leadership positions in procurement, global supply chain management, operations, and business development for small private firms and fortune 500 multi-national corporations. Prior to joining Coeptis, Mr. Yerace served as Senior Director of Global Supply Chain and Commercial Business Development for Kadmon Pharmaceuticals. Mr. Yerace holds a bachelor’s degree in economics, and a masters of business administration from Waynesburg University.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 officers and directors of the Company are engaged in other businesses, either individually or through partnerships and corporations in which they have an interest, hold an office, or serve on a board of directors. As a result, certain conflicts of interest may arise between the Company and its officers and directors. The Company will attempt to resolve such conflicts of interest in favor of the Company. The officers and directors of the Company are accountable to it and its shareholders as fiduciaries, which require that such officers and directors exercise good faith and integrity in handling the Company's affairs. A shareholder may be able to institute legal action on behalf of the Company or on behalf of itself and other similarly situated shareholders to recover damages or for other relief in cases of the resolution of conflicts is in any manner prejudicial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 separate Compensation Committee, Audit Committee or Nominating Committee. These functions are conducted by our Board of Directors acting as a whole. During 2021, our Board of Directors held four meetings and took action by written consent in lieu of a meeting on four occasions.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understandings between any director of our company or any other person pursuant to which any officer or director was or is to be selected as an officer or director.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directors is independent, within the meaning of definitions established by the SEC or any self-regulatory organization. We are not currently subject to any law, rule or regulation requiring that all or any portion of our Board of Directors include independent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with Our 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company welcomes comments and questions from our shareholders. Shareholders should direct all communications to our Secretary, Christine Sheehy, at our executive offices. However, while we appreciate all comments from shareholders, we may not be able to respond individually to all communications. We will attempt to address shareholder questions and concerns in our press releases and documents filed with the SEC, so that all shareholders have access to information about us at the same time. Ms. Sheehy collects and evaluates all shareholder communications. All communications addressed to our directors and executive officers will be reviewed by those parties, unless the communication is clearly frivolous.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our Board of Directors has not adopted a code of ethics with respect to our directors, officers and employees. As our securities are not listed on a national securities exchange, we are not required and do not have a written code of business conduct and ethics that applies to our directors, officers and employees. Our management does, however, promote honest and ethical conduct, full and fair disclosure in our reports to the SEC, and compliance with applicable governmental laws and regulations.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Scientific and Clinical Advisory Board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a scientific and advisory board comprised of the following three persons who are leading scientists in cell and gene therapy:</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Evren Alici M.D., PhD</w:t>
      </w:r>
      <w:r>
        <w:rPr>
          <w:rFonts w:ascii="Times New Roman" w:cs="Times New Roman" w:eastAsia="Times New Roman" w:hAnsi="Times New Roman"/>
          <w:sz w:val="18"/>
          <w:szCs w:val="18"/>
          <w:color w:val="auto"/>
        </w:rPr>
        <w:t>. Dr. Alici is the Head of the Gene and Cell Therapy Group, Division of Hematology, Department of Medicine, Karolinska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Institutet (“KI”), Karolinska University Hospital. As a senior researcher and group leader in Hematology at KI, Department of Medicine, he also serves as co-director of NextGenNK, an international Competence Center for the development of next-generation NK cell-based cancer immunotherapies based at KI. Dr. Alici received his M.D. and did his residency at the Ege University, Turkey. He earned his Ph.D. in 2006 at KI. Dr. Alici’s main research interests are novel approaches to generating universal cells including allogeneic NK cells, multiple myeloma, lentiviral and retroviral gene transfer, stem cell transplantation and immunology. Dr. Alici participated in the planning and design of the first clinical study with gene-modified cells in Sweden and authored the final publication. Additionally, he was also responsible for the first-in-man autologous NK cell therapy clinical trial that was classified as advanced therapy medicinal product use. Dr. Alici is affiliated with VyGen-Bio.</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Hans-Gustaf Ljunggren M.D., PhD</w:t>
      </w:r>
      <w:r>
        <w:rPr>
          <w:rFonts w:ascii="Times New Roman" w:cs="Times New Roman" w:eastAsia="Times New Roman" w:hAnsi="Times New Roman"/>
          <w:sz w:val="18"/>
          <w:szCs w:val="18"/>
          <w:color w:val="auto"/>
        </w:rPr>
        <w:t>. Professor Ljunggren is the former Dean of Research at Karolinska Institutet and founder of the Center for Infectious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 Department of Medicine, Karolinska Institutet, Karolinska University Hospital and has functioned as Dean of Research at KI. He is a member of the Nobel Assembly at KI, which awards the Nobel Prize in Physiology or Medicine. Professor Ljunggren earned his medical and doctoral degrees at KI and also serves as Center Director of NextGenNK, an international Competence Center for the development of next-generation NK cell-based cancer immunotherapies based at KI. In 2001, he was appointed Professor of Infection Medicine and Director of the Center for Infectious Medicine (CIM), a Strategic Research Center at the Department of Medicine, and has authored over 300 articles within the fields of immunology, infectious diseases and cancer and been cited more than 40,000 times. Professor Ljunggren has been a member of the organizing or scientific committees of numerous international conferences and has had multiple national and international assignments, involving external research evaluations and participation in international advisory boards. Dr. Ljunggren is affiliated with VyGen-Bio.</w:t>
      </w:r>
    </w:p>
    <w:p>
      <w:pPr>
        <w:spacing w:after="0" w:line="188"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b w:val="1"/>
          <w:bCs w:val="1"/>
          <w:u w:val="single" w:color="auto"/>
          <w:color w:val="auto"/>
        </w:rPr>
        <w:t>Arnika Kathleen Wagner PhD., Assistant Professor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2019, Dr. Wagner has been an assistant professor at the KI’s Dept. of Medicine Huddinge,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studying NK cells in immunotherapy in Multiple Myeloma. Dr. Wagner is particularly interested in advancing the use of genetically modified NK cells in different immunotherapeutic approaches. Dr. Wagner earned her M.Sc. in 2008 from the University of 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beck, Germany and conducted her Ph.D. studies under the supervision of Klas Kärre at the Dept of Microbiology, Tumor and Cell Biology, at KI, where her research focused on NK cells in mouse models for immunotherapy and studied the crosstalk of NK cells with other immune cells. Dr. Wagner is affiliated with VyGen-Bio.</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continue to review our scientific advisory board to enlist when and if needed further support from highly qualified and well-respected experts and advisors who bring a wealth of academic as well as clinical expertise to us.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General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Currently, our management is unable to estimate accurately when, if ever, our company will possess sufficient capital, whether derived from sales revenues, this offering or otherwise, for the payment of salaries to our management.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there are no annuity, pension or retirement benefits proposed to be paid to officers, directors or employees of our company, pursuant to any presently existing plan provided by, or contributed to,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concerning the compensation awarded, paid to or earned by,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7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Incentive PlanCompensation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Compen-</w:t>
            </w:r>
          </w:p>
        </w:tc>
        <w:tc>
          <w:tcPr>
            <w:tcW w:w="7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22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sation</w:t>
            </w:r>
          </w:p>
        </w:tc>
        <w:tc>
          <w:tcPr>
            <w:tcW w:w="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1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Name and Principal Position</w:t>
            </w:r>
          </w:p>
        </w:tc>
        <w:tc>
          <w:tcPr>
            <w:tcW w:w="7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89"/>
        </w:trPr>
        <w:tc>
          <w:tcPr>
            <w:tcW w:w="3140" w:type="dxa"/>
            <w:vAlign w:val="bottom"/>
            <w:shd w:val="clear" w:color="auto" w:fill="CCEEFF"/>
          </w:tcPr>
          <w:p>
            <w:pPr>
              <w:jc w:val="center"/>
              <w:ind w:left="170"/>
              <w:spacing w:after="0" w:line="189" w:lineRule="exact"/>
              <w:rPr>
                <w:sz w:val="20"/>
                <w:szCs w:val="20"/>
                <w:color w:val="auto"/>
              </w:rPr>
            </w:pPr>
            <w:r>
              <w:rPr>
                <w:rFonts w:ascii="Times New Roman" w:cs="Times New Roman" w:eastAsia="Times New Roman" w:hAnsi="Times New Roman"/>
                <w:sz w:val="18"/>
                <w:szCs w:val="18"/>
                <w:color w:val="auto"/>
                <w:w w:val="99"/>
              </w:rPr>
              <w:t>David Mehalick</w:t>
            </w:r>
          </w:p>
        </w:tc>
        <w:tc>
          <w:tcPr>
            <w:tcW w:w="76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2021</w:t>
            </w:r>
          </w:p>
        </w:tc>
        <w:tc>
          <w:tcPr>
            <w:tcW w:w="84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$216,500</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7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72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6"/>
                <w:szCs w:val="16"/>
                <w:color w:val="auto"/>
              </w:rPr>
            </w:pPr>
          </w:p>
        </w:tc>
        <w:tc>
          <w:tcPr>
            <w:tcW w:w="70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36"/>
        </w:trPr>
        <w:tc>
          <w:tcPr>
            <w:tcW w:w="31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i w:val="1"/>
                <w:iCs w:val="1"/>
                <w:color w:val="auto"/>
                <w:w w:val="99"/>
              </w:rPr>
              <w:t>Chairman, CEO and President</w:t>
            </w:r>
          </w:p>
        </w:tc>
        <w:tc>
          <w:tcPr>
            <w:tcW w:w="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$148,500</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0"/>
                <w:szCs w:val="20"/>
                <w:color w:val="auto"/>
              </w:rPr>
            </w:pP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3140" w:type="dxa"/>
            <w:vAlign w:val="bottom"/>
          </w:tcPr>
          <w:p>
            <w:pPr>
              <w:jc w:val="center"/>
              <w:ind w:left="150"/>
              <w:spacing w:after="0" w:line="195" w:lineRule="exact"/>
              <w:rPr>
                <w:sz w:val="20"/>
                <w:szCs w:val="20"/>
                <w:color w:val="auto"/>
              </w:rPr>
            </w:pPr>
            <w:r>
              <w:rPr>
                <w:rFonts w:ascii="Times New Roman" w:cs="Times New Roman" w:eastAsia="Times New Roman" w:hAnsi="Times New Roman"/>
                <w:sz w:val="18"/>
                <w:szCs w:val="18"/>
                <w:color w:val="auto"/>
                <w:w w:val="98"/>
              </w:rPr>
              <w:t>Daniel Yerace</w:t>
            </w:r>
          </w:p>
        </w:tc>
        <w:tc>
          <w:tcPr>
            <w:tcW w:w="76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84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$205,500</w:t>
            </w:r>
          </w:p>
        </w:tc>
        <w:tc>
          <w:tcPr>
            <w:tcW w:w="660" w:type="dxa"/>
            <w:vAlign w:val="bottom"/>
          </w:tcPr>
          <w:p>
            <w:pPr>
              <w:spacing w:after="0"/>
              <w:rPr>
                <w:sz w:val="17"/>
                <w:szCs w:val="17"/>
                <w:color w:val="auto"/>
              </w:rPr>
            </w:pPr>
          </w:p>
        </w:tc>
        <w:tc>
          <w:tcPr>
            <w:tcW w:w="22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7"/>
                <w:szCs w:val="17"/>
                <w:color w:val="auto"/>
              </w:rPr>
            </w:pPr>
          </w:p>
        </w:tc>
        <w:tc>
          <w:tcPr>
            <w:tcW w:w="70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36"/>
        </w:trPr>
        <w:tc>
          <w:tcPr>
            <w:tcW w:w="3140" w:type="dxa"/>
            <w:vAlign w:val="bottom"/>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Vice President of Operations</w:t>
            </w:r>
          </w:p>
        </w:tc>
        <w:tc>
          <w:tcPr>
            <w:tcW w:w="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$137,077</w:t>
            </w:r>
          </w:p>
        </w:tc>
        <w:tc>
          <w:tcPr>
            <w:tcW w:w="660" w:type="dxa"/>
            <w:vAlign w:val="bottom"/>
          </w:tcPr>
          <w:p>
            <w:pPr>
              <w:spacing w:after="0"/>
              <w:rPr>
                <w:sz w:val="20"/>
                <w:szCs w:val="20"/>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3140" w:type="dxa"/>
            <w:vAlign w:val="bottom"/>
            <w:shd w:val="clear" w:color="auto" w:fill="CCEEFF"/>
          </w:tcPr>
          <w:p>
            <w:pPr>
              <w:jc w:val="center"/>
              <w:ind w:left="170"/>
              <w:spacing w:after="0" w:line="195" w:lineRule="exact"/>
              <w:rPr>
                <w:sz w:val="20"/>
                <w:szCs w:val="20"/>
                <w:color w:val="auto"/>
              </w:rPr>
            </w:pPr>
            <w:r>
              <w:rPr>
                <w:rFonts w:ascii="Times New Roman" w:cs="Times New Roman" w:eastAsia="Times New Roman" w:hAnsi="Times New Roman"/>
                <w:sz w:val="18"/>
                <w:szCs w:val="18"/>
                <w:color w:val="auto"/>
              </w:rPr>
              <w:t>Christine Sheehy</w:t>
            </w:r>
          </w:p>
        </w:tc>
        <w:tc>
          <w:tcPr>
            <w:tcW w:w="76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840" w:type="dxa"/>
            <w:vAlign w:val="bottom"/>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$133,500</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7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w:t>
            </w:r>
          </w:p>
        </w:tc>
      </w:tr>
      <w:tr>
        <w:trPr>
          <w:trHeight w:val="236"/>
        </w:trPr>
        <w:tc>
          <w:tcPr>
            <w:tcW w:w="314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c>
          <w:tcPr>
            <w:tcW w:w="7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$62,307</w:t>
            </w:r>
          </w:p>
        </w:tc>
        <w:tc>
          <w:tcPr>
            <w:tcW w:w="6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Option Awards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regarding unexercised options to purchase common stock, stock options that have not vested and equity-incentive plan awards outstanding as of the date of this prospectus, for each named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7"/>
        </w:trPr>
        <w:tc>
          <w:tcPr>
            <w:tcW w:w="2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r>
      <w:tr>
        <w:trPr>
          <w:trHeight w:val="216"/>
        </w:trPr>
        <w:tc>
          <w:tcPr>
            <w:tcW w:w="2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Market or</w:t>
            </w:r>
          </w:p>
        </w:tc>
      </w:tr>
      <w:tr>
        <w:trPr>
          <w:trHeight w:val="216"/>
        </w:trPr>
        <w:tc>
          <w:tcPr>
            <w:tcW w:w="2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Payout Value</w:t>
            </w:r>
          </w:p>
        </w:tc>
      </w:tr>
      <w:tr>
        <w:trPr>
          <w:trHeight w:val="216"/>
        </w:trPr>
        <w:tc>
          <w:tcPr>
            <w:tcW w:w="27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Unearned</w:t>
            </w:r>
          </w:p>
        </w:tc>
      </w:tr>
      <w:tr>
        <w:trPr>
          <w:trHeight w:val="216"/>
        </w:trPr>
        <w:tc>
          <w:tcPr>
            <w:tcW w:w="27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Units</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Shares, Units</w:t>
            </w:r>
          </w:p>
        </w:tc>
      </w:tr>
      <w:tr>
        <w:trPr>
          <w:trHeight w:val="216"/>
        </w:trPr>
        <w:tc>
          <w:tcPr>
            <w:tcW w:w="27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 of</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Other</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 Other</w:t>
            </w:r>
          </w:p>
        </w:tc>
      </w:tr>
      <w:tr>
        <w:trPr>
          <w:trHeight w:val="216"/>
        </w:trPr>
        <w:tc>
          <w:tcPr>
            <w:tcW w:w="2740" w:type="dxa"/>
            <w:vAlign w:val="bottom"/>
          </w:tcPr>
          <w:p>
            <w:pPr>
              <w:spacing w:after="0"/>
              <w:rPr>
                <w:sz w:val="18"/>
                <w:szCs w:val="18"/>
                <w:color w:val="auto"/>
              </w:rPr>
            </w:pPr>
          </w:p>
        </w:tc>
        <w:tc>
          <w:tcPr>
            <w:tcW w:w="37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Unexercised Unexercised Unexercised Option</w:t>
            </w: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Stock That Stock That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Rights That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Rights That</w:t>
            </w:r>
          </w:p>
        </w:tc>
      </w:tr>
      <w:tr>
        <w:trPr>
          <w:trHeight w:val="216"/>
        </w:trPr>
        <w:tc>
          <w:tcPr>
            <w:tcW w:w="27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Expiration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8"/>
        </w:trPr>
        <w:tc>
          <w:tcPr>
            <w:tcW w:w="27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Exercisable Unexercisable Options (#) Price ($)</w:t>
            </w:r>
          </w:p>
        </w:tc>
        <w:tc>
          <w:tcPr>
            <w:tcW w:w="8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Vested (#)</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Vested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Vested (#)</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Vested ($)</w:t>
            </w:r>
          </w:p>
        </w:tc>
      </w:tr>
      <w:tr>
        <w:trPr>
          <w:trHeight w:val="209"/>
        </w:trPr>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0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0"/>
              </w:rPr>
              <w:t>n/a</w:t>
            </w:r>
          </w:p>
        </w:tc>
        <w:tc>
          <w:tcPr>
            <w:tcW w:w="8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n/a</w:t>
            </w:r>
          </w:p>
        </w:tc>
        <w:tc>
          <w:tcPr>
            <w:tcW w:w="110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1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0"/>
              </w:rPr>
              <w:t>n/a</w:t>
            </w:r>
          </w:p>
        </w:tc>
        <w:tc>
          <w:tcPr>
            <w:tcW w:w="8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n/a</w:t>
            </w:r>
          </w:p>
        </w:tc>
        <w:tc>
          <w:tcPr>
            <w:tcW w:w="110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ind w:left="10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r>
      <w:tr>
        <w:trPr>
          <w:trHeight w:val="216"/>
        </w:trPr>
        <w:tc>
          <w:tcPr>
            <w:tcW w:w="2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10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0"/>
              </w:rPr>
              <w:t>n/a</w:t>
            </w:r>
          </w:p>
        </w:tc>
        <w:tc>
          <w:tcPr>
            <w:tcW w:w="8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n/a</w:t>
            </w:r>
          </w:p>
        </w:tc>
        <w:tc>
          <w:tcPr>
            <w:tcW w:w="11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recently entered into employment agreement with both David Mehalick and Daniel Yerace, each of which are described below. We do not currently have employment agreements with any of our other officers and directors. We intend to explore other employment arrangements on an ongoing basis in 2022.</w:t>
      </w:r>
    </w:p>
    <w:p>
      <w:pPr>
        <w:spacing w:after="0" w:line="17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David Mehalick</w:t>
      </w:r>
      <w:r>
        <w:rPr>
          <w:rFonts w:ascii="Times New Roman" w:cs="Times New Roman" w:eastAsia="Times New Roman" w:hAnsi="Times New Roman"/>
          <w:sz w:val="18"/>
          <w:szCs w:val="18"/>
          <w:color w:val="auto"/>
        </w:rPr>
        <w:t>: David Mehalick, our President and Chief Executive Officer, entered into an Employment Agreement with Coeptis Therapeutics,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highlight w:val="white"/>
        </w:rPr>
        <w:t>”) on February 21,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highlight w:val="white"/>
        </w:rPr>
        <w:t>”) covering the Company and its subsidiary Coeptis Pharmaceuticals, Inc. The</w:t>
      </w:r>
      <w:r>
        <w:rPr>
          <w:rFonts w:ascii="Times New Roman" w:cs="Times New Roman" w:eastAsia="Times New Roman" w:hAnsi="Times New Roman"/>
          <w:sz w:val="18"/>
          <w:szCs w:val="18"/>
          <w:color w:val="auto"/>
        </w:rPr>
        <w:t xml:space="preserve"> Employment Agreement is in effect immediately and will remain in effect until the termination of the Employment Agreement by either party in accordance with Section 5 of the Employment Agreement. Mr. Mehalick shall report to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shall have the duties, responsibilities and authority as may from time to time be assigned to him by the Company’s Board. Under the Employment Agreement, the Company will pay Mr. Mehalick an annualized salary at the initial rate of $275,000, which base salary will increase to $360,000 after the completion of a successful Financing Transaction (as defined in the Employment Agreement). Mr. Mehalick will also receive a guaranteed bonus equal to twenty (20%) of his base salary for each calendar year, and will be eligible to receive merit bonuses, certain milestone bonuses and awards of stock options, restricted stock units or other equity awards pursuant to any plans or arrangements the Company may have in effect from time to time. The foregoing is a summary does not purport to be complete and is qualified in its entirety by reference Mr. Mehalick’s Employment Agreement, which is filed as Exhibit 4.1 on the Form 8-K filed on February 21, 2022.</w:t>
      </w:r>
    </w:p>
    <w:p>
      <w:pPr>
        <w:spacing w:after="0" w:line="18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Daniel Yerace</w:t>
      </w:r>
      <w:r>
        <w:rPr>
          <w:rFonts w:ascii="Times New Roman" w:cs="Times New Roman" w:eastAsia="Times New Roman" w:hAnsi="Times New Roman"/>
          <w:sz w:val="18"/>
          <w:szCs w:val="18"/>
          <w:color w:val="auto"/>
        </w:rPr>
        <w:t>: Daniel A. Yerace, our Vice President of Operations, entered into an Employment agreement with the Company on the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covering the Company and its subsidiary Coeptis Pharmaceuticals, Inc. The Employment Agreement is in effect immediately and will be effective from the Effective Date until the termination of the Employment Agreement by either party in accordance with Section 5 of the Employment Agreement. Mr. Yerace shall report to the President of the Company and shall have the duties, responsibilities and authority as may from time to time be assigned to him by the Company’s President. Under the Employment Agreement, the Company will pay Mr. Yerace an annualized salary at the initial rate of $275,000, which base salary will increase to $360,000 after the completion of a successful Financing Transaction (as defined in the Employment Agreement). Mr. Yerace will also receive a guaranteed bonus equal to twenty (20%) of his base salary for each calendar year, and will be eligible to receive merit bonuses, certain milestone bonuses and awards of stock options, restricted stock units or other equity awards pursuant to any plans or arrangements the Company may have in effect from time to time. The foregoing is a summary of the material terms of the Employment Agreement. The summary does not purport to be complete and is qualified in its entirety by reference Mr. Yerace’s Employment Agreement, which is filed as Exhibit 4.1 on the Form 8-K filed on February 21,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has made no equity awards and no such award is pending.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no employee incentive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directors receive no compensation for their serving as directors.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PRINCIPAL STOCKHOLDERS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common stock beneficially owned on May 20, 2022, for (i) each stockholder known to be the beneficial owner of more than 5% of our outstanding Company Common Stock, (ii) each executive officer and director, and (iii) all executive officers and directors as a group. In general, a person is deemed to be a “beneficial owner” of a security if that person has or shares the power to vote or direct the voting of such security, or the power to dispose or to direct the disposition of such security. A person is also deemed to be a beneficial owner of any securities of which the person has the right to acquire beneficial ownership within 60 days, through the exercise of a warrant or stock option, conversion of a convertible security or otherwise. The table assumes a total of 46,987,897 shares of our common stock outstanding as of May 20, 2022, based on 38,987,897 shares of common stock outstanding and 8,000,000 shares of common stock issuable upon conversion of our currently outstanding Series B Convertible Preferred Stock. Unless otherwise noted below the address of each person identified is c/o Coeptis Therapeutics, Inc., 105 Bradford Rd, Suite 420, Wexford, Pennsylvania 15090.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38"/>
        </w:trPr>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4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Name of Shareholder</w:t>
            </w:r>
          </w:p>
        </w:tc>
        <w:tc>
          <w:tcPr>
            <w:tcW w:w="19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Shares Owned</w:t>
            </w:r>
          </w:p>
        </w:tc>
        <w:tc>
          <w:tcPr>
            <w:tcW w:w="17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Owned (1)</w:t>
            </w:r>
          </w:p>
        </w:tc>
      </w:tr>
      <w:tr>
        <w:trPr>
          <w:trHeight w:val="189"/>
        </w:trPr>
        <w:tc>
          <w:tcPr>
            <w:tcW w:w="1200" w:type="dxa"/>
            <w:vAlign w:val="bottom"/>
            <w:tcBorders>
              <w:top w:val="single" w:sz="8" w:color="auto"/>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6200" w:type="dxa"/>
            <w:vAlign w:val="bottom"/>
            <w:tcBorders>
              <w:top w:val="single" w:sz="8" w:color="auto"/>
              <w:bottom w:val="single" w:sz="8" w:color="CCEEFF"/>
            </w:tcBorders>
            <w:gridSpan w:val="3"/>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176"/>
        </w:trPr>
        <w:tc>
          <w:tcPr>
            <w:tcW w:w="76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7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9,800,000 (2)</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20.86%</w:t>
            </w:r>
          </w:p>
        </w:tc>
      </w:tr>
      <w:tr>
        <w:trPr>
          <w:trHeight w:val="216"/>
        </w:trPr>
        <w:tc>
          <w:tcPr>
            <w:tcW w:w="7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3,000,000</w:t>
            </w:r>
          </w:p>
        </w:tc>
        <w:tc>
          <w:tcPr>
            <w:tcW w:w="2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7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3,000,000</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r>
      <w:tr>
        <w:trPr>
          <w:trHeight w:val="216"/>
        </w:trPr>
        <w:tc>
          <w:tcPr>
            <w:tcW w:w="7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Officers and directors, as a group (3 persons)</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15,800,000</w:t>
            </w:r>
          </w:p>
        </w:tc>
        <w:tc>
          <w:tcPr>
            <w:tcW w:w="2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33.63%</w:t>
            </w:r>
          </w:p>
        </w:tc>
      </w:tr>
      <w:tr>
        <w:trPr>
          <w:trHeight w:val="216"/>
        </w:trPr>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762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5% Owners</w:t>
            </w: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76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Pharma LLC (3)</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4,250,000</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7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Lena Pharma LLC (4)</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4,250,000</w:t>
            </w:r>
          </w:p>
        </w:tc>
        <w:tc>
          <w:tcPr>
            <w:tcW w:w="2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w:t>
            </w:r>
          </w:p>
        </w:tc>
      </w:tr>
      <w:tr>
        <w:trPr>
          <w:trHeight w:val="196"/>
        </w:trPr>
        <w:tc>
          <w:tcPr>
            <w:tcW w:w="762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Series B Convertible Preferred Stock (5)</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4520" w:type="dxa"/>
            <w:vAlign w:val="bottom"/>
            <w:tcBorders>
              <w:top w:val="single" w:sz="8" w:color="CCEEFF"/>
            </w:tcBorders>
            <w:gridSpan w:val="2"/>
          </w:tcPr>
          <w:p>
            <w:pPr>
              <w:spacing w:after="0"/>
              <w:rPr>
                <w:sz w:val="19"/>
                <w:szCs w:val="19"/>
                <w:color w:val="auto"/>
              </w:rPr>
            </w:pPr>
          </w:p>
        </w:tc>
        <w:tc>
          <w:tcPr>
            <w:tcW w:w="168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hanging="358"/>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46,987,897 shares outstanding, which includes 38,987,897 issued shares and 8,000,000 unissued shares that underlie 8,000 issued shares of our Series B Convertible Preferred Stock convertible within 60 days of the date of this prospectus.</w:t>
      </w:r>
    </w:p>
    <w:p>
      <w:pPr>
        <w:spacing w:after="0" w:line="161" w:lineRule="exact"/>
        <w:rPr>
          <w:rFonts w:ascii="Times New Roman" w:cs="Times New Roman" w:eastAsia="Times New Roman" w:hAnsi="Times New Roman"/>
          <w:sz w:val="18"/>
          <w:szCs w:val="18"/>
          <w:color w:val="auto"/>
        </w:rPr>
      </w:pPr>
    </w:p>
    <w:p>
      <w:pPr>
        <w:ind w:left="420" w:hanging="358"/>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 of such shares have not been issued, but underlie 8,000 issued shares of our Series B Convertible Preferred Stock convertible within 60 days of the date of this prospectus.</w:t>
      </w:r>
    </w:p>
    <w:p>
      <w:pPr>
        <w:spacing w:after="0" w:line="161" w:lineRule="exact"/>
        <w:rPr>
          <w:rFonts w:ascii="Times New Roman" w:cs="Times New Roman" w:eastAsia="Times New Roman" w:hAnsi="Times New Roman"/>
          <w:sz w:val="18"/>
          <w:szCs w:val="18"/>
          <w:color w:val="auto"/>
        </w:rPr>
      </w:pPr>
    </w:p>
    <w:p>
      <w:pPr>
        <w:ind w:left="460" w:hanging="371"/>
        <w:spacing w:after="0"/>
        <w:tabs>
          <w:tab w:leader="none" w:pos="46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Lisa Kuchera is the manager of this entity and possesses voting control over securities owned by it.</w:t>
      </w:r>
    </w:p>
    <w:p>
      <w:pPr>
        <w:spacing w:after="0" w:line="225" w:lineRule="exact"/>
        <w:rPr>
          <w:rFonts w:ascii="Times New Roman" w:cs="Times New Roman" w:eastAsia="Times New Roman" w:hAnsi="Times New Roman"/>
          <w:sz w:val="18"/>
          <w:szCs w:val="18"/>
          <w:color w:val="auto"/>
        </w:rPr>
      </w:pPr>
    </w:p>
    <w:p>
      <w:pPr>
        <w:ind w:left="440" w:hanging="365"/>
        <w:spacing w:after="0"/>
        <w:tabs>
          <w:tab w:leader="none" w:pos="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Lena Kuchera is the manager of this entity and possesses voting control over securities owned by it.</w:t>
      </w:r>
    </w:p>
    <w:p>
      <w:pPr>
        <w:spacing w:after="0" w:line="225" w:lineRule="exact"/>
        <w:rPr>
          <w:sz w:val="20"/>
          <w:szCs w:val="20"/>
          <w:color w:val="auto"/>
        </w:rPr>
      </w:pPr>
    </w:p>
    <w:p>
      <w:pPr>
        <w:jc w:val="both"/>
        <w:ind w:left="420" w:hanging="358"/>
        <w:spacing w:after="0" w:line="261"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outstanding shares of Series B Convertible Preferred Stock shall be entitled to the number of votes equal to 1,000 shares of our common stock for each share of Series B Convertible Preferred Stock. Except as provided by law, or by the provisions establishing any other series of our Preferred Stock, holders of Series B Convertible Preferred Stock and of any other outstanding series of Preferred Stock shall vote on an as-converted basis together with the holders of our common stock as a single class.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covers certain shares of our common stock issued prior to the consummation of the Merger, certain shares of our common stock issued following consummation of the Merger and shares of our common stock issuable upon exercise of certain warrants described elsewhere in this prospectus.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refer to the selling stockholders in this prospectus, we mean those persons listed in the table below, as well as the permitted transferees, pledgees, donees, assignees, successors and others who later come to hold any of the selling stockholders’ interests other than through a public sale.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stockholders may from time to time offer and sell pursuant to this prospectus any or all of the shares of common stock set forth in the following table. There is no requirement for the selling stockholders to sell their shares, and we do not know when, or if, or in what amount the selling stockholders may offer the securities for sale pursuant to this prospectus.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has been prepared based upon the information furnished to us by the selling stockholders as of May 20, 2022. The selling stockholders identified below may have sold, transferred or otherwise disposed of some or all of their shares since the date on which the information in the following table is presented in transactions exempt from or not subject to the registration requirements of the Securities Act. Information concerning the selling stockholders may change from time to time and, if necessary, we will supplement this prospectus accordingly. We cannot give an estimate as to whether the selling stockholders will in fact sell any or all of their shares of common stock.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our knowledge and except as noted below or elsewhere in this prospectus, none of the selling stockholders has, or within the past three years has had, any material relationship with us or any of our affiliates.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this Prospectus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 Ownership after</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 Ownership</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that</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Registration Assuming</w:t>
            </w:r>
          </w:p>
        </w:tc>
      </w:tr>
      <w:tr>
        <w:trPr>
          <w:trHeight w:val="238"/>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Prior to Registration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May</w:t>
            </w: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All Shares are Sold</w:t>
            </w:r>
          </w:p>
        </w:tc>
      </w:tr>
      <w:tr>
        <w:trPr>
          <w:trHeight w:val="209"/>
        </w:trPr>
        <w:tc>
          <w:tcPr>
            <w:tcW w:w="44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11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be Sold</w:t>
            </w:r>
          </w:p>
        </w:tc>
        <w:tc>
          <w:tcPr>
            <w:tcW w:w="132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Hawke Investment Holdings, LLC</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634,500</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634,500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Nagel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1,425,000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Red's Sky Dream L.L.C.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744,250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633,000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111,250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Booker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Newton Energy Inc.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Taggart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52,050</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Spidey Consultants, L.L.C.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153,333</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53,333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Cahill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1,168,050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1,018,050</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Rivers Business Consulting LLC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DFT LLC</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Deitz</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AMLS Holdings, LLC</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Peyton Jackson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Rick Felton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792"/>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Allan Marshall</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1.59%</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250,000</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500,000</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Bishop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400,000</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Northstar Capital Partners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100,000</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 Salkind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1.16%</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300,000</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250,000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Sterling Acquisitions I, Inc.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3.02%(14)</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50,000</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Coral Investment Partners LP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3.02%(14)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1,400,000</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Littman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Candice Chilcote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00" w:type="dxa"/>
            <w:vAlign w:val="bottom"/>
          </w:tcPr>
          <w:p>
            <w:pPr>
              <w:spacing w:after="0"/>
              <w:rPr>
                <w:sz w:val="18"/>
                <w:szCs w:val="18"/>
                <w:color w:val="auto"/>
              </w:rPr>
            </w:pP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Kristin Nelson-Dorrance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Moore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00" w:type="dxa"/>
            <w:vAlign w:val="bottom"/>
          </w:tcPr>
          <w:p>
            <w:pPr>
              <w:spacing w:after="0"/>
              <w:rPr>
                <w:sz w:val="18"/>
                <w:szCs w:val="18"/>
                <w:color w:val="auto"/>
              </w:rPr>
            </w:pP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Joanne Majerus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 Van Os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00" w:type="dxa"/>
            <w:vAlign w:val="bottom"/>
          </w:tcPr>
          <w:p>
            <w:pPr>
              <w:spacing w:after="0"/>
              <w:rPr>
                <w:sz w:val="18"/>
                <w:szCs w:val="18"/>
                <w:color w:val="auto"/>
              </w:rPr>
            </w:pP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Pharma LLC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9.04%</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3,000,000</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1,250,000</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Lena Pharma LLC</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700" w:type="dxa"/>
            <w:vAlign w:val="bottom"/>
          </w:tcPr>
          <w:p>
            <w:pPr>
              <w:spacing w:after="0"/>
              <w:rPr>
                <w:sz w:val="18"/>
                <w:szCs w:val="18"/>
                <w:color w:val="auto"/>
              </w:rPr>
            </w:pP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9.04%</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3,000,000</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1,250,000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KBK Ventures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300,000</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Viani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1,915,000</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4.05%</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500,000</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1,415,000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DiFrancesco</w:t>
            </w:r>
          </w:p>
        </w:tc>
        <w:tc>
          <w:tcPr>
            <w:tcW w:w="170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300,000(1)</w:t>
            </w:r>
          </w:p>
        </w:tc>
        <w:tc>
          <w:tcPr>
            <w:tcW w:w="14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300,000</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4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Marital Trust GST Subject U/W/O Leopold Salkind Gene</w:t>
            </w: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Salkind, Trustee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170,000</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Mear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7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34,000</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r>
      <w:tr>
        <w:trPr>
          <w:trHeight w:val="225"/>
        </w:trPr>
        <w:tc>
          <w:tcPr>
            <w:tcW w:w="4420" w:type="dxa"/>
            <w:vAlign w:val="bottom"/>
            <w:gridSpan w:val="2"/>
          </w:tcPr>
          <w:p>
            <w:pPr>
              <w:spacing w:after="0" w:line="225" w:lineRule="exact"/>
              <w:rPr>
                <w:sz w:val="20"/>
                <w:szCs w:val="20"/>
                <w:color w:val="auto"/>
              </w:rPr>
            </w:pPr>
            <w:r>
              <w:rPr>
                <w:rFonts w:ascii="Times New Roman" w:cs="Times New Roman" w:eastAsia="Times New Roman" w:hAnsi="Times New Roman"/>
                <w:sz w:val="22"/>
                <w:szCs w:val="22"/>
                <w:color w:val="auto"/>
              </w:rPr>
              <w:t>_______________________</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Represents beneficial ownership less than 1%.</w:t>
            </w: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underlying warrants that are or may become exercisable within 60 days of May 20, 2022.</w:t>
      </w:r>
    </w:p>
    <w:p>
      <w:pPr>
        <w:spacing w:after="0" w:line="9" w:lineRule="exact"/>
        <w:rPr>
          <w:rFonts w:ascii="Times New Roman" w:cs="Times New Roman" w:eastAsia="Times New Roman" w:hAnsi="Times New Roman"/>
          <w:sz w:val="18"/>
          <w:szCs w:val="18"/>
          <w:color w:val="auto"/>
        </w:rPr>
      </w:pPr>
    </w:p>
    <w:p>
      <w:pPr>
        <w:ind w:left="580" w:hanging="572"/>
        <w:spacing w:after="0" w:line="250"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300,000 of common stock underlying warrants that are or may become exercisable within 60 days of May 20, 2022, 75,000 of which are held in the name of The Douglas James Nagel Irrevocable Trust.</w:t>
      </w: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633,000 shares of common stock underlying warrants that are or may become exercisable within 60 days of May 20, 2022.</w:t>
      </w:r>
    </w:p>
    <w:p>
      <w:pPr>
        <w:spacing w:after="0" w:line="9" w:lineRule="exact"/>
        <w:rPr>
          <w:rFonts w:ascii="Times New Roman" w:cs="Times New Roman" w:eastAsia="Times New Roman" w:hAnsi="Times New Roman"/>
          <w:sz w:val="18"/>
          <w:szCs w:val="18"/>
          <w:color w:val="auto"/>
        </w:rPr>
      </w:pPr>
    </w:p>
    <w:p>
      <w:pPr>
        <w:ind w:left="580" w:right="320" w:hanging="572"/>
        <w:spacing w:after="0" w:line="180" w:lineRule="auto"/>
        <w:tabs>
          <w:tab w:leader="none" w:pos="580" w:val="left"/>
        </w:tabs>
        <w:numPr>
          <w:ilvl w:val="0"/>
          <w:numId w:val="1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Includes (i) 100,000 shares of common stock held in the name of Strata Trust Company Cust FBO Thomas Booker IRA and (ii) 7,500 shares of common stock underlying warrants that are or may become exercisable within 60 days of May 20, 2022.</w:t>
      </w: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100,000 shares of common stock underlying warrants that are or may become exercisable within 60 days of May 20, 2022.</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1,018,050 shares of common stock underlying warrants that are or may become exercisable within 60 days of May 20, 2022.</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210,000 shares of common stock underlying warrants that are or may become exercisable within 60 days of May 20, 2022.</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296,666 shares of common stock underlying warrants that are or may become exercisable within 60 days of May 20, 2022.</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200,000 shares of common stock underlying warrants that are or may become exercisable within 60 days of May 20, 2022.</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775,000 shares of common stock underlying warrants that are or may become exercisable within 60 days of May 20, 2022.</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250,000 shares of common stock underlying warrants that are or may become exercisable within 60 days of May 20, 2022.</w:t>
      </w:r>
    </w:p>
    <w:p>
      <w:pPr>
        <w:spacing w:after="0" w:line="9" w:lineRule="exact"/>
        <w:rPr>
          <w:rFonts w:ascii="Times New Roman" w:cs="Times New Roman" w:eastAsia="Times New Roman" w:hAnsi="Times New Roman"/>
          <w:sz w:val="18"/>
          <w:szCs w:val="18"/>
          <w:color w:val="auto"/>
        </w:rPr>
      </w:pPr>
    </w:p>
    <w:p>
      <w:pPr>
        <w:ind w:left="580" w:right="420" w:hanging="572"/>
        <w:spacing w:after="0" w:line="180" w:lineRule="auto"/>
        <w:tabs>
          <w:tab w:leader="none" w:pos="580" w:val="left"/>
        </w:tabs>
        <w:numPr>
          <w:ilvl w:val="0"/>
          <w:numId w:val="1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Includes (i) 300,000 shares of common stock underlying warrants that are or may become exercisable within 60 days of May 20, 2022 and (ii) 250,000 shares of common stock held by Gene Salkind and Catherine Salkind JTWROS.</w:t>
      </w: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1,000,000 shares of common stock underlying warrants that are or may become exercisable within 60 days of May 20, 2022.</w:t>
      </w:r>
    </w:p>
    <w:p>
      <w:pPr>
        <w:spacing w:after="0" w:line="9" w:lineRule="exact"/>
        <w:rPr>
          <w:rFonts w:ascii="Times New Roman" w:cs="Times New Roman" w:eastAsia="Times New Roman" w:hAnsi="Times New Roman"/>
          <w:sz w:val="18"/>
          <w:szCs w:val="18"/>
          <w:color w:val="auto"/>
        </w:rPr>
      </w:pPr>
    </w:p>
    <w:p>
      <w:pPr>
        <w:ind w:left="580" w:right="20" w:hanging="572"/>
        <w:spacing w:after="0" w:line="250" w:lineRule="auto"/>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beneficial ownership purposes all shares held in the names of Sterling Acquisitions I, Inc. and Coral Investment Partners LP, each of which entities are controlled by Erik Nelson.</w:t>
      </w:r>
    </w:p>
    <w:p>
      <w:pPr>
        <w:ind w:left="580" w:hanging="5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250,000 shares of common stock underlying warrants that are or may become exercisable within 60 days of May 20, 2022.</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closing of the 2021 Merger, we had a 100% ownership interest in NDYN Delaware, Inc. In December 2020, prior to the Closing of the 2021 Merger, we divested our 100% ownership interest NDYN Delaware, LLC to Sterling Acquisition I, LLC, an entity controlled by our pre-Merger board member Erik Nelson. The divestiture was accomplished through the sale of all of our share ownership of NDYN Delaware, Inc. pursuant to a Divestiture Agreement, a copy of which is attached as Exhibit 10.1 to our Current Report on Form 8-K that was filed on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Pre-Merger Promissory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 period ended January 31, 2021, Coral Investment Partners, an entity 100% controlled by Erik Nelson, had extended the Company $45,000 in demand loans at an interest rate of 18%. Erik Nelson was the pre-Merger Chief Executive Officer as well as the only Director pre-Merger. As of January 31, 2021, $6,835 in interest had accrued on this demand loan, which loan was repaid in full in connection with the closing of the 2021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Pre-Merger Series B Convertible Preferred Stock and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12, 2021, (i) David Mehalick purchased 8,000 shares of Series B Preferred Stock from Coral Investment Partners, LP for an aggregate purchase price of $1,000 and (ii) we repurchased 328,000 shares of our Common Stock from Coral Partners, LP for an aggregate purchase price of $247,164.95 and retired such shares of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Board Independence and Committees</w:t>
      </w:r>
      <w:r>
        <w:rPr>
          <w:rFonts w:ascii="Times New Roman" w:cs="Times New Roman" w:eastAsia="Times New Roman" w:hAnsi="Times New Roman"/>
          <w:sz w:val="18"/>
          <w:szCs w:val="18"/>
          <w:color w:val="auto"/>
        </w:rPr>
        <w:t>. We are not currently listed on any national securities exchange or in an inter-dealer quotation system that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that the Board of Directors be independent. However, in evaluating the independence of our members and the composition of the committees of our Board of Directors, our Board utilizes the definition of “independence” as that term is defined by applicable listing standards of the Nasdaq Stock Market and SEC rules, including the rules relating to the independence standards of an audit committee and the non-employee director definition of Rule 16b-3 promulgated under the Exchange Act.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expects to continue to evaluate its independence standards and whether and to what extent the composition of the Board and its committees meets those standards. We ultimately intend to appoint such persons to our Board and committees of our Board as are expected to be required to meet the corporate governance requirements imposed by a national securities exchange. Therefore, we intend that prior to any listing, if ever, on a national securities exchange a majority of our directors will be independent directors of which at least one director will qualify as an “audit committee financial expert,” within the meaning of Item 407(d)(5) of Regulation S-K, as promulgated by the SEC.</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our Board of Directors is expected to appoint an audit committee and adopt an applicable charter in 2022. Our Board of Directors is also expected to analyze the need for and timing for appointing a governance committee and compensation committee, and if and when appointed will also adopt charters relative to each such committee.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none of our current Directors qualify as an “independent” director as that term is defined by the Nasdaq Stock Market, Inc. Marketplace Rules.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Code of Ethics</w:t>
      </w:r>
      <w:r>
        <w:rPr>
          <w:rFonts w:ascii="Times New Roman" w:cs="Times New Roman" w:eastAsia="Times New Roman" w:hAnsi="Times New Roman"/>
          <w:sz w:val="18"/>
          <w:szCs w:val="18"/>
          <w:color w:val="auto"/>
        </w:rPr>
        <w:t>. We have not adopted a written code of ethics. We intend to adopt a written code of ethics in the future.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limits the liability of our directors for monetary damages for breach of their fiduciary duty as directors, except to the extent such exemption or limitation thereof is not permitted under the Delaware General Corporate Law and applicable law. Delaware law provides that such a provision may not limit the liability of directors:</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unlawful payment of dividend or unlawful stock repurchase or redemption, as provided under Section 174 of the DGCL;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amendment, repeal or modification of these provisions will be prospective only and would not affect any limitation on liability of a director for acts or omissions that occurred prior to any such amendment, repeal or modification. Our certificate of incorporation also requires us to pay any expenses incurred by any director or officer in defending against any such action, suit or proceeding in advance of the final disposition of such matter to the fullest extent permitted by law, subject to the receipt of an undertaking by or on behalf of such person to repay all amounts so advanced if it shall ultimately be determined that such person is not entitled to be indemnified as authorized by our amended and restated bylaws or otherwise. We believe that the limitation of liability provision in our certificate of incorporation and the indemnification agreements facilitate our ability to continue to attract and retain qualified individuals to serve as directors and officers.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to enter into indemnification agreements with each of our directors and executive officers. We expect the indemnification agreement to provide, among other things, that we will indemnify and hold harmless each person subject to an indemnification agreement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to the fullest extent permitted by applicable law from and against all losses, costs, liabilities, judgments, penalties, fines, expenses and other matters that may result or arise in connection with such Indemnified Party serving in his or her capacity as a director of ours or serving at our direction as a director, officer, employee, fiduciary or agent of another entity. We expect the indemnification agreement to further provide that, upon an Indemnified Party’s request, we will advance expenses to the Indemnified Party to the fullest extent permitted by applicable law. Pursuant to the indemnification agreement, we will intend that an Indemnified Party is presumed to be entitled to indemnification and we have the burden of proving otherwise. We also intend to secure and maintain in full force and effect directors’ liability insurance. If indemnification under an indemnification agreement is unavailable to an Indemnified Party for any reason, we, in lieu of indemnifying the Indemnified Party, will contribute to any amounts incurred by the Indemnified Party in connection with any claim relating to an indemnifiable event in such proportion as is deemed fair and reasonable in light of all of the circumstances to reflect the relative benefits received or relative fault of the parties in connection with such event.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Securities and Exchange Commission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Review of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“Related Party Transaction” is a transaction, arrangement or relationship in which we or any of our subsidiaries was, is or will be a participant, the amount of which involved exceeds $50,000 in any one fiscal year, and in which any related person had, has or will have a direct or indirect material interest. A “Related Person” means:</w:t>
      </w:r>
    </w:p>
    <w:p>
      <w:pPr>
        <w:spacing w:after="0" w:line="176"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our executive officers, one of our directors, or a nominee to become one of our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us to be the beneficial owner of more than 5.0% of any class of our voting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5.0% of any class of our voting securities, and any person (other than a tenant or employee) sharing the household of such director, executive officer or beneficial owner of more than 5.0% of any class of our voting securities; and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employed or is a general partner or principal or in a similar position or in which such person has a 5% or greater beneficial ownership interest in any class of the Company’s voting securities.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intends to adopt a related party transactions policy. Pursuant to this policy, we expect that our audit committee, once established, will review all material facts of all Related Party Transactions and either approve or disapprove entry into the Related Party Transaction, subject to certain limited exceptions. In determining whether to approve or disapprove entry into a Related Party Transaction, our audit committee shall take into account, among other factors, the following: (i) whether the Related Party Transaction is on terms no less favorable than terms generally available to an unaffiliated third-party under the same or similar circumstances and (ii) the extent of the Related Person’s interest in the transaction. Further, the policy will require that all Related Party Transactions required to be disclosed in our filings with the SEC be so disclosed in accordance with applicable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20, 2022, our authorized capital stock consists of (a) 750,000,000 shares of common stock, $.0001 par value per share; and (b) 10,000,000 shares of preferred stock, $.0001 par value per share, of which 2,530,968 shares have been designated, as follows: (1) Series A Preferred Stock, 530,968 shares authorized; and (2) Series B Convertible Preferred Stock, 2,000,000 shares authorized.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there were (x) 38,987,897 shares of our common stock issued and outstanding, held by 460 holders of record; (y) no shares of Series A Preferred Stock issued and outstanding; and (z) 8,000 shares of Series B Convertible Preferred Stock issued and outstanding, held by one (1) holder of record.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summary of our capital stock and certificate of incorporation and bylaws does not purport to be complete and is qualified in its entirety by reference to the provisions of applicable law and to our certificate of incorporation and bylaws, which will be provided upon request. The information on our website is deemed not to be incorporated in this prospectus or to be part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submitted to a vote of the shareholders, including the election of directors. Generally, all matters to be voted on by shareholders must be approved by a majority (or, in the case of election of directors, by a plurality) of the votes entitled to be cast by all shares of our common stock (including our common stock underlying the Series B Convertible Preferred Stock) that are present in person or represented by proxy. Except as otherwise provided by law, amendments to our Certificate of Incorporation generally must be approved by a majority of the votes entitled to be cast by all outstanding shares of our common stock (including our common stock underlying the Series B Convertible Preferred Stock). Our Certificate of Incorporation does not provide for cumulative voting in the election of directors. Holders of our common stock will be entitled to such cash dividends as may be declared from time to time by the Board from funds available. Holders of our common stock have no preemptive rights to purchase shares of our common stock. The issued and outstanding shares of our common stock are not subject to any redemption provisions and are not convertible into any other shares of our capital stock. Upon our liquidation, dissolution or winding up, the holders of our common stock (including our common stock underlying the Series B Convertible Preferred Stock) will be entitled to receive pro rata all assets available for distribution to such 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we are authorized to issue up to 10,000,000 shares of “blank check” preferred stock, which may be issued from time to time in one or more series upon authorization by the company’s board of directors. The board of directors, without further approval of the shareholders, is authorized to fix the dividend rights and terms, conversion rights, voting rights, redemption rights and terms, liquidation preferences, and any other rights, preferences, privileges and restrictions applicable to each series of preferred stock.</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Series A Preferred Stock</w:t>
      </w:r>
      <w:r>
        <w:rPr>
          <w:rFonts w:ascii="Times New Roman" w:cs="Times New Roman" w:eastAsia="Times New Roman" w:hAnsi="Times New Roman"/>
          <w:sz w:val="18"/>
          <w:szCs w:val="18"/>
          <w:color w:val="auto"/>
        </w:rPr>
        <w:t>. As of the date of this prospectus, there are no shares of Series A Preferred Stock outstanding, and we have no intention of issuing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Series A Preferred Stock in the near future.</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Series A Preferred Stock has no liquidation preference over any other class of stock. Except as otherwise required by law, holders of Series A Preferred Stock have no special voting rights and their consent shall not be required (except to the extent they are entitled to vote with holders of our common stock or any other class or series of preferred stock) for the taking of any corporate action. The Series A Preferred Stock is convertible at the option of the holder for a period of time from the date of issuance, each holder of shares of Series A Preferred Stock may, at any time and from time to time, provided that the holders of the Series A Preferred Stock are limited to conversion ownership of 9.99% of our common stock. For a period of 18 months after the Series A Preferred Stock is convertible, the conversion price of the Series A Preferred Stock is subject to adjustment to prevent dilution in the event that we issue additional shares at a purchase price less than the applicable conversion price. The conversion price is subject to adjustment on a weighted basis that takes into account issuances of additional shares.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B Convertible Preferred Stock</w:t>
      </w:r>
      <w:r>
        <w:rPr>
          <w:rFonts w:ascii="Times New Roman" w:cs="Times New Roman" w:eastAsia="Times New Roman" w:hAnsi="Times New Roman"/>
          <w:sz w:val="18"/>
          <w:szCs w:val="18"/>
          <w:color w:val="auto"/>
        </w:rPr>
        <w:t>. As of the date of this Offered Circular, there are 8,000 shares of Series B Convertible Preferred Stock outstanding.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Initially, there will be no dividends due or payable on the Series B Convertible Preferred Stock. Any future terms with respect to dividends shall be determined by the Board consistent with the our Certificate of Incorporation. Any and all such future terms concerning dividends shall be reflected in an amendment to our Certificate of Incorporation, which the Board shall promptly file or cause to be filed. All shares of the Series B Convertible Preferred Stock shall rank (a) senior to our common stock and any other class or series of our capital stock hereafter created, (b) pari passu with any class or series of our capital stock hereafter created and specifically ranking, by its terms, on par with the Series B Convertible Preferred Stock, and (c) junior to any class or series of our capital stock hereafter created specifically ranking, by its terms, senior to the Series B Convertible Preferred Stock, in each case as to distribution of assets upon liquidation, dissolution or winding up of our company, whether voluntary or involuntary. The Series B Convertible Preferred Stock shall have no liquidation preference over any other class of stock.</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outstanding shares of Series B Convertible Preferred Stock shall be entitled to the number of votes equal to equal to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thousand (1,000) shares of our common stock for each share of Series B Convertible Preferred Stock. Except as provided by law, or by the provisions establishing any other series of Preferred Stock, holders of Series B Convertible Preferred Stock and of any other outstanding series of Preferred Stock shall vote on an as-converted basis together with the holders of our common stock as a single class. Each holder of shares of Series B Convertible Preferred Stock may, at any time and from time to time, convert (an “Optional Conversion”) each of its shares of Series B Convertible Preferred Stock into 1,000 fully-paid and non-assessable shares of our common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Optional Conversion must involve the issuance of at least 100 shares of our common stock. In the event of a reverse split, the conversion ratio shall not be changed. However, in the event a forward split shall occur then the conversion ratio shall be modified to be increased by the same ratio as the forward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Pre-Merger Warrants</w:t>
      </w:r>
      <w:r>
        <w:rPr>
          <w:rFonts w:ascii="Times New Roman" w:cs="Times New Roman" w:eastAsia="Times New Roman" w:hAnsi="Times New Roman"/>
          <w:sz w:val="18"/>
          <w:szCs w:val="18"/>
          <w:color w:val="auto"/>
        </w:rPr>
        <w:t>. After the consummation of the Merger, there remained warrants outstanding to purchase up to 1,000,000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held by Coral Investment Partners, LP. (an entity 100% controlled by Erik Nelson, our pre-Merger sole officer and director). Each warrant entitles the holder to purchase one share of our common stock at an average purchase price of $3.50 (there are warrants for 500,000 shares at a price of $2.00 per share and warrants for 500,000 shares at a price of $5.00 per share) during the three (3) year period commencing on its date of issuance (resulting in an expiration date of November 30, 2023 for all warrants).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warrants, at the option of the holder, may be exercised by cash payment of the exercise price to us. The warrants may also be exercised under certain circumstances on a cashless basis.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exercise price and the number of warrant shares purchasable upon the exercise of the warrants are subject to adjustment upon the occurrence of certain events, including stock dividends, stock splits, combinations and reclassifications of our capital stock. Additionally, an adjustment would be made in the case of an amalgamation, consolidation or merger of our company with or into another corporation (other than a consolidation or merger in which our company is the surviving corporation) or sale of all or substantially all of our assets. We must communicate any such event to the holder(s) of the warrants in order to enable them to receive the kind and number of shares of stock or other securities or property receivable in such event by a holder of the number of shares our common stock that the holder may be entitled to purchase upon the exercise of the warrants.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contain a provision limiting the number of shares of our common stock that may be acquired upon exercise to the extent necessary to insure that, after giving effect to such exercise, the number of shares of our common stock then beneficially owned by the holder of the warrants and its affiliates and certain other persons does not exceed 9.99% of the total number of shares of our common stock issued and outstanding immediately after giving effect to such exercise.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either make a cash payment to the warrant holder with respect to such fractional interest or round the interest up to the net whole share.</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Post-Merger Warrants</w:t>
      </w:r>
      <w:r>
        <w:rPr>
          <w:rFonts w:ascii="Times New Roman" w:cs="Times New Roman" w:eastAsia="Times New Roman" w:hAnsi="Times New Roman"/>
          <w:sz w:val="18"/>
          <w:szCs w:val="18"/>
          <w:color w:val="auto"/>
        </w:rPr>
        <w:t>. Since the consummation of the 2021 Merger we have issued warrants to purchase up to 7,390,100 shares of our common stock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partners and professional service providers that entitle the holders to purchase one share of our common stock at an average purchase price of $1.92. The warrants will generally expire between November 2023 and May 2026, with the majority of the warrants set to expire in January 2024. The exercise price and the number of warrant shares purchasable upon the exercise of these warrants are subject to adjustment upon the occurrence of certain events, including stock dividends, stock splits, combinations and reclassifications of our capital stock. Additionally, an adjustment would be made in the case of an amalgamation, consolidation or merger of our company with or into another corporation (other than a consolidation or merger in which our company is the surviving corporation).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currently intend to retain future earnings, if any, to finance the expansion of our business. As a result, we do not anticipate paying any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provide that special meetings of shareholders may be called only by our Board of Directors, the chairman of the board or our president, or as otherwise provided under Delaware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retained the services of West Coast Stock Transfer, Inc., 721 N. Vulcan Avenue, First Floor, Encinitas, California 92024, as the transfer agent for our common stock. West Coast Stock Transfer’s website is located at: www.westcoaststocktransfer.com. No information found on West Coast Stock Transfer’s website is part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Certificate of Incorporation, Our Bylaws and Delaware Law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provisions of Delaware law, our certificate of incorporation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provide for payment of a premium over the market price for our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ability of our board of directors, without action by the stockholders, to issue up to 10,000,000 shares of undesignated preferred stock (8,000 of which have been designated as our Class B Preferred Stock and are issued and outstanding)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in certain cases,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Bylaw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provides that our board of directors has the power to make, amend, alter or repeal our bylaws. Our bylaws provide that they may be repealed or amended, and new bylaws maybe adopted, by our board of directors or by the vote of stockholders holding a majority of the stock outstanding and entitled to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the right to amend, alter, change or repeal any provision contained in our certificate of incorporation, in the manner prescribed by statute. Any amendments requiring stockholder approval may be passed by a majority of the outstanding voting power and not by a majority of each class or series of outstanding capital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Our bylaws provides that no contract or other transaction between us and one or more of our directors or any other corporation, firm, association or entity in which one or more of our directors are directors or officers or are financially interested, will be either void or voidable because of such relationship or interest or because such director or directors are present at the meeting of the board of directors or one of its committees which authorizes, approves or ratifies such contract or transaction or because his or their votes are counted for such purpose, if: (a) the fact of such relationship or interest is disclosed or known to our board of directors or committee thereof which authorizes, approves or ratifies the contract or transaction by a vote or consent sufficient for the purpose without counting the votes or consents of such interested directors; (b) the fact of such relationship or interest is disclosed or known to the shareholders entitled to vote and they authorize, approve or ratify such contract or transaction by vote or written consent; or (c) the contract or transaction is fair and reasonable to us at the time it is authorized by our board of directors, a committee thereof or the stockholders. Common or interested directors may be counted in determining the presence of a quorum at a meeting of our board of directors or a committee thereof which authorizes, approves or ratifies such contract or transaction.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Bylaws limit the liability of our directors for monetary damages for breach of their fiduciary duty as directors, except to the extent such exemption or limitation thereof is not permitted under the DGCL and applicable law. Delaware law provides that such a provision may not limit the liability of directors:</w:t>
      </w:r>
    </w:p>
    <w:p>
      <w:pPr>
        <w:spacing w:after="0" w:line="18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unlawful payment of dividend or unlawful stock repurchase or redemption, as provided under Section 174 of the DGCL;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amendment, repeal or modification of these provisions will be prospective only and would not affect any limitation on liability of a director for acts or omissions that occurred prior to any such amendment, repeal or modification.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also cover any expenses incurred by any director or officer in defending against any such action, suit or proceeding to the fullest extent permitted by law, subject to limitations. We have entered or will enter into indemnification agreements with each of our directors and executive officers. These agreements will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our certificate of incorporation and the indemnification agreements facilitate our ability to continue to attract and retain qualified individuals to serve as directors and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Pre-Merger Registration Rights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agreements entered into by us prior to the consummation of the Merger, we agreed to prepare and file a registration statement with the SEC for purposes of registering the resale of the shares of common stock held by the selling stockholders (including the common stock issuable upon exercise of certain warrants). We agreed to use our commercially reasonable efforts to cause the registration statement of which this prospectus is a part to be filed with the SEC no later than thirty (30) days following the filing of our most recent periodic report on Form 10-Q.</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agreed to use our commercially reasonable efforts to keep the registration statement, of which this prospectus constitutes a part, effective until the earlier of (a) a registration statement with respect to the sale all of registrable securities being declared effective by the SEC under the Securities Act and such registrable securities having been disposed of or transferred by the holder thereof in accordance with such effective registration statement, (b) such registrable securities having been previously sold or transferred in accordance with Rule 144 of the Securities Act (or another exemption from the registration requirements of the Securities Act), and (c) such securities becoming eligible for resale without volume or manner-of-sale restrictions and without current public information requirements pursuant to Rule 144.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Post-Merger Registration Rights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certain warrants by us post-Merger we agreed to include in any resale registration statement shares of our common stock that are issuable pursuant to the exercise of certain warrants.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May 20, 2022, we have 38,987,897 shares of common stock outstanding. We have filed a registration statement, of which this prospectus is a part, in respect of the 15,809,100 shares being offered by the selling stockholders named herein (which include shares of common stock to be issued upon exercise of certain warrants described elsewhere herein). These shares may not be sold pursuant to this prospectus until the registration statement is declared effective. All of the shares of our common stock sold by the selling stockholders pursuant to the registration statement of which this prospectus is a part will be freely tradable without restriction or further registration under the Securities Act, unless such shares are purchased by “affiliates” as that term is defined in Rule 144 under the Securities Act, which will be subject to the resale limitations of Rule 144.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remaining outstanding shares of our common stock will be deemed to be “restricted securities” as that term is defined in Rule 144. Subject to certain contractual restrictions, including the lock-up agreed to by certain of our stockholders, holders of restricted shares will be entitled to sell those shares in the public market if and when those shares are registered or if they qualify for an exemption from registration under Rule 144 or any other applicable exemption under the Securities Act.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registration statement of which this prospectus is a part, there has been a limited established public market for our common stock. No assurance can be given as to the likelihood that an active trading market for our common stock will develop, the liquidity of any such market, the ability of our stockholders to sell their shares or the prices that our stockholders may obtain for any of their shares. Further, we cannot predict the effect, if any, that sales of shares or availability of any shares for sale will have on the market price of our common stock prevailing from time to time. Issuances or sales of substantial amounts of our common stock, or the perception that such issuances or sales could occur, could cause the market price of our common stock to decline significantly and make it more difficult for us to raise additional capital through a future sale of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under Rule 144, a person (or persons whose shares are aggregated) who is not an affiliate of ours and has not been one of our affiliates at any time during the three months preceding a sale, and who has beneficially owned the restricted securities proposed to be sold for at least one year, including the holding period of any prior owner other than an affiliate, is entitled to sell his or her securities without registration and without complying with the manner of sale, public information, volume limitation or notice provisions of Rule 144. Because we are a former “shell company”, Rule 144 will be first available to permit public resales of our shares only one year after the public company has filed all Form 10 information with the SEC, and conditioned on us thereafter having has filed all required periodic SEC reports during the 12 months preceding the proposed sale. In addition, under Rule 144, since we have been subject to the reporting requirements of the Exchange Act for at least 90 days, at such time as Rule 144 becomes available, a person (or persons whose securities are aggregated) who is not an affiliate of ours and has not been one of our affiliates at any time during the three months preceding a sale, may sell his or her securities without registration, subject to us having filed all required periodic filings for the 12 month period preceding the proposed sale, after only a six-month holding period. Any sales by affiliates under Rule 144, even after the applicable holding periods, are subject to requirements and/or limitations with respect to volume, manner of sale, notice and the availability of current public information about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general, under Rule 701 of the Securities Act, any of our stockholders who purchased shares from us in connection with a qualified compensatory stock plan or other written agreement before we became subject to the reporting requirements of Section 13 or 15(d) of the Exchange Act, is eligible to resell those shares in reliance on Rule 144. An affiliate of the issuer can resell shares in reliance on Rule 144 without having to comply with the holding period requirements of Rule 144, and a non-affiliate of the issuer can resell shares in reliance on Rule 144 without having to comply with the holding period requirements of Rule 144 and without regard to the volume of such sales or the availability of public information about the issuer. As of the date of this prospectus, we have not sold any shares to our shareholders under Rule 701.</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registration rights held by the selling stockholders listed in this prospectus see “</w:t>
      </w:r>
      <w:r>
        <w:rPr>
          <w:rFonts w:ascii="Times New Roman" w:cs="Times New Roman" w:eastAsia="Times New Roman" w:hAnsi="Times New Roman"/>
          <w:sz w:val="18"/>
          <w:szCs w:val="18"/>
          <w:u w:val="single" w:color="auto"/>
          <w:color w:val="0000EE"/>
        </w:rPr>
        <w:t>Description of Capital Stock</w:t>
      </w:r>
      <w:r>
        <w:rPr>
          <w:rFonts w:ascii="Times New Roman" w:cs="Times New Roman" w:eastAsia="Times New Roman" w:hAnsi="Times New Roman"/>
          <w:sz w:val="18"/>
          <w:szCs w:val="18"/>
          <w:color w:val="auto"/>
        </w:rPr>
        <w:t>—Registration Rights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May 20, 2022, we don’t have any outstanding stock options. As noted elsewhere in this prospectus, we have warrants outstanding warrants to purchase up to 8,316,766 shares of our common stock, and the weighted average exercise price of such options is $2.115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 Company has not adopted an equity incentive plan. The Company is currently considering adopting an equity incentive plan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8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jc w:val="both"/>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U.S. FEDERAL NON-INCOME TAX LAWS, INCLUDING THE U.S. FEDERAL ESTATE OR GIFT TAX LAWS, OR UNDER THE LAWS OF ANY STATE, LOCAL OR NON-U.S. TAXING JURISDICTION OR UNDER ANY APPLICABLE INCOME TAX TREATY.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20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the section entitled “</w:t>
      </w:r>
      <w:r>
        <w:rPr>
          <w:rFonts w:ascii="Times New Roman" w:cs="Times New Roman" w:eastAsia="Times New Roman" w:hAnsi="Times New Roman"/>
          <w:sz w:val="18"/>
          <w:szCs w:val="18"/>
          <w:u w:val="single" w:color="auto"/>
          <w:color w:val="0000EE"/>
        </w:rPr>
        <w:t>Dividend Policy</w:t>
      </w:r>
      <w:r>
        <w:rPr>
          <w:rFonts w:ascii="Times New Roman" w:cs="Times New Roman" w:eastAsia="Times New Roman" w:hAnsi="Times New Roman"/>
          <w:sz w:val="18"/>
          <w:szCs w:val="18"/>
          <w:color w:val="auto"/>
        </w:rPr>
        <w:t>,” we do not currently anticipate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w:t>
      </w:r>
      <w:r>
        <w:rPr>
          <w:rFonts w:ascii="Times New Roman" w:cs="Times New Roman" w:eastAsia="Times New Roman" w:hAnsi="Times New Roman"/>
          <w:sz w:val="18"/>
          <w:szCs w:val="18"/>
          <w:u w:val="single" w:color="auto"/>
          <w:color w:val="0000EE"/>
        </w:rPr>
        <w:t>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or Other Taxable Disposition</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backup withholding and FATCA,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our common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such effectively connected dividends will be subject to U.S. federal income tax on a net income basis at the regular graduated rates applicable to U.S. tax residents. A Non-U.S. Holder that is a corporation for U.S. federal income tax purposes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a Non-U.S. Holder will not be subject to U.S. federal income tax on any gain realized upon the sale or other taxable disposition of our common stock unless:</w:t>
      </w:r>
    </w:p>
    <w:p>
      <w:pPr>
        <w:spacing w:after="0" w:line="162"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(“USRPI”) by reason of our status as a United States real property holding corporation (“USRPHC”) for U.S. federal income tax purposes.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currently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pursuant to the third bullet point above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a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 proposed Treasury Regulations until final Treasury Regulations are issued.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registering the shares of common stock covered by this prospectus to permit the selling stockholders to conduct public secondary trading of these shares from time to time after the date of this prospectus. We will not receive any of the proceeds of the sale of the shares offered by this prospectus. The aggregate proceeds to the selling stockholders from the sale of the shares will be the purchase price of the shares less any discounts and commissions. Each selling stockholder reserves the right to accept and, together with their respective agents, to reject, any proposed purchases of shares to be made directly or through agents.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of their pledgees, assignees and successors-in-interest may, from time to time, sell any or all of their shares of common stock offered by this prospectus on any stock exchange, market or trading facility on which the shares are traded or in private transactions. These sales may be at fixed or negotiated prices. The prices at which the selling stockholders may sell the shares of common stock may be determined by the prevailing market price for the shares at the time of sale, may be different than such prevailing market prices or may be determined through negotiated transactions with third parties. The selling stockholders may use any one or more of the following methods when selling the shares of common stock offered by this prospectus:</w:t>
      </w:r>
    </w:p>
    <w:p>
      <w:pPr>
        <w:spacing w:after="0" w:line="18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144, Rule 144A or Regulation S under the Securities Act, if available, rather than under this prospectus.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p>
      <w:pPr>
        <w:jc w:val="both"/>
        <w:spacing w:after="0" w:line="258" w:lineRule="auto"/>
        <w:rPr>
          <w:sz w:val="20"/>
          <w:szCs w:val="20"/>
          <w:color w:val="auto"/>
        </w:rPr>
      </w:pPr>
      <w:r>
        <w:rPr>
          <w:rFonts w:ascii="Times New Roman" w:cs="Times New Roman" w:eastAsia="Times New Roman" w:hAnsi="Times New Roman"/>
          <w:sz w:val="18"/>
          <w:szCs w:val="18"/>
          <w:color w:val="auto"/>
        </w:rPr>
        <w:t>There is currently a limited public trading market for our common stock. 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shares may be sold directly or through broker-dealers acting as principal or agent, or pursuant to a distribution by one or more underwriters on a firm commitment or best-efforts basis. In connection with the sale of our common stock or interests therein, the selling stockholders may enter into hedging transactions with broker-dealers or other financial institutions, which may in turn engage in short sales of our common stock in the course of hedging the positions they assume. The selling stockholders may also sell shares of our common stock short and deliver these securities to close out their short positions, or loan or pledge our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stockholders or from purchasers of the offered shares for whom they may act as agents. In addition, underwriters may sell the shares to or through dealers, and those dealers may receive compensation in the form of discounts, concessions or commissions from the underwriters and/or commissions from the purchasers for whom they may act as agents.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If a selling stockholder is deemed to be an underwriter, the selling stockholder may be subject to certain statutory liabilities including, but not limited to Sections 11, 12 and 17 of the Securities Act and Rule 10b-5 under the Exchange Act. Selling stockholders who are deemed underwriters within the meaning of the Securities Act will be subject to the prospectus delivery requirements of the Securities Act. The SEC staff is of a view that selling stockholders who are registered broker-dealers or affiliates of registered broker-dealers may be underwriters under the Securities Act. In compliance with FINRA guidelines, the maximum commission or discount to be received by a member of FINRA or an independent broker-dealer may not exceed 8% for the sale of any securities registered hereunder. We will not pay any compensation or give any discounts or commissions to any underwriter in connection with the securities being offered by this prospectus. The selling stockholders have advised us that they have not entered into any written or oral agreements, understandings or arrangements with any underwriter or broker-dealer regarding the sale of the resale shares. There is no underwriter or coordinating broker acting in connection with the proposed sale of the resale shares by the selling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shares.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shares of common stock may be sold in these jurisdictions only through registered or licensed brokers or dealers. In addition, in some states the shares of common stock may not be sold unless they have been registered or qualified for sale or an exemption from registration or qualification requirements is available and in compliance.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shares of the common stock by the selling stockholders or any other person. The anti-manipulation rules under the Exchange Act may apply to sales of common stock in the market and to the activities of the selling stockholders and their affiliates. Regulation M may restrict the ability of any person engaged in the distribution of the common stock to engage in market-making activities with respect to the particular shares of common stock being distributed for a period of up to five business days before the distribution. These restrictions may affect the marketability of the common stock and the ability of any person or entity to engage in market-making activities with respect to the common stock. We will make copies of this prospectus available to the selling stockholders and have informed them of the need to deliver a copy of this prospectus to each purchaser at or prior to the time of the sale.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our common stock and certain legal matters will be passed upon for us by Meister Seelig &amp; Fein,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Coeptis Pharmaceuticals, Inc. (the Company) at December 31, 2021 and at December 31, 2020 and for the years ended, appearing in this Prospectus and Registration Statement have been audited by Turner, Stone &amp; Company, LLP, independent registered public accounting firm, as set forth in their report thereon (which Turner, Stone &amp; Company, LLP’s report contains an explanatory paragraph describing conditions that raise substantial doubt about the Company’s ability to continue as a going concern as described in Note 1 to the consolidated financial statements) appearing elsewhere herein, and are included in reliance upon such reports given on the authority of such firms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filed with the Securities and Exchange Commission a registration statement on Form S-1 (File Number 333-262506) under the Securities Act with respect to the shares of common stock being offered by the selling stockholders named in this prospectus. This prospectus does not contain all of the information in the registration statement and its exhibits. For further information with respect to us and the common stock offered by this prospectus, we refer you to the registration statement and its exhibits. Where we make statements in this prospectus as to the contents of any contract or any other document, for the complete text of that document, we refer you to the copy of the contract or other document filed as an exhibit to the registration statement. Each of these statements is qualified in all respects by this reference.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can read our Securities and Exchange Commission filings, including the registration statement of which this prospectus is a part, over the Internet at the Securities and Exchange Commission’s website at www.sec.gov. Please call the Securities and Exchange Commission at 1-800-SEC-0330 for further information on the operation of the public reference facilities.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periodic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i w:val="1"/>
          <w:iCs w:val="1"/>
          <w:color w:val="auto"/>
        </w:rPr>
        <w:t>https://www.coeptistx.com</w:t>
      </w:r>
      <w:r>
        <w:rPr>
          <w:rFonts w:ascii="Times New Roman" w:cs="Times New Roman" w:eastAsia="Times New Roman" w:hAnsi="Times New Roman"/>
          <w:sz w:val="18"/>
          <w:szCs w:val="18"/>
          <w:color w:val="auto"/>
        </w:rPr>
        <w:t>. The reference to our website address does not constitute incorporation by reference of the information contained at or available through our website,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20" w:type="dxa"/>
            <w:vAlign w:val="bottom"/>
            <w:gridSpan w:val="11"/>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20" w:type="dxa"/>
            <w:vAlign w:val="bottom"/>
            <w:gridSpan w:val="10"/>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Coeptis Therapeutics, Inc.</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20" w:type="dxa"/>
            <w:vAlign w:val="bottom"/>
            <w:gridSpan w:val="10"/>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formerly Vinings Holdings, Inc.</w:t>
            </w:r>
            <w:r>
              <w:rPr>
                <w:rFonts w:ascii="Times New Roman" w:cs="Times New Roman" w:eastAsia="Times New Roman" w:hAnsi="Times New Roman"/>
                <w:sz w:val="18"/>
                <w:szCs w:val="18"/>
                <w:b w:val="1"/>
                <w:bCs w:val="1"/>
                <w:color w:val="auto"/>
                <w:w w:val="99"/>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20" w:type="dxa"/>
            <w:vAlign w:val="bottom"/>
            <w:gridSpan w:val="10"/>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80" w:type="dxa"/>
            <w:vAlign w:val="bottom"/>
            <w:gridSpan w:val="12"/>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2022 and 2021 and</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7080" w:type="dxa"/>
            <w:vAlign w:val="bottom"/>
            <w:gridSpan w:val="12"/>
          </w:tcPr>
          <w:p>
            <w:pPr>
              <w:jc w:val="center"/>
              <w:ind w:right="21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Years Ended December 31, 2021 and 2020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c>
          <w:tcPr>
            <w:tcW w:w="0" w:type="dxa"/>
            <w:vAlign w:val="bottom"/>
          </w:tcPr>
          <w:p>
            <w:pPr>
              <w:spacing w:after="0" w:line="20" w:lineRule="exact"/>
              <w:rPr>
                <w:sz w:val="1"/>
                <w:szCs w:val="1"/>
                <w:color w:val="auto"/>
              </w:rPr>
            </w:pPr>
          </w:p>
        </w:tc>
      </w:tr>
      <w:tr>
        <w:trPr>
          <w:trHeight w:val="458"/>
        </w:trPr>
        <w:tc>
          <w:tcPr>
            <w:tcW w:w="54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March 31, 2022 and December 31, 2021</w:t>
            </w:r>
          </w:p>
        </w:tc>
        <w:tc>
          <w:tcPr>
            <w:tcW w:w="4800" w:type="dxa"/>
            <w:vAlign w:val="bottom"/>
            <w:gridSpan w:val="9"/>
            <w:vMerge w:val="restart"/>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440" w:type="dxa"/>
            <w:vAlign w:val="bottom"/>
            <w:tcBorders>
              <w:bottom w:val="single" w:sz="8" w:color="0000EE"/>
            </w:tcBorders>
            <w:gridSpan w:val="5"/>
            <w:vMerge w:val="continue"/>
          </w:tcPr>
          <w:p>
            <w:pPr>
              <w:spacing w:after="0"/>
              <w:rPr>
                <w:sz w:val="13"/>
                <w:szCs w:val="13"/>
                <w:color w:val="auto"/>
              </w:rPr>
            </w:pPr>
          </w:p>
        </w:tc>
        <w:tc>
          <w:tcPr>
            <w:tcW w:w="4800" w:type="dxa"/>
            <w:vAlign w:val="bottom"/>
            <w:gridSpan w:val="9"/>
            <w:vMerge w:val="continue"/>
          </w:tcPr>
          <w:p>
            <w:pPr>
              <w:spacing w:after="0"/>
              <w:rPr>
                <w:sz w:val="13"/>
                <w:szCs w:val="13"/>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210"/>
        </w:trPr>
        <w:tc>
          <w:tcPr>
            <w:tcW w:w="85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three months ended March 31, 2022 and 2021</w:t>
            </w:r>
          </w:p>
        </w:tc>
        <w:tc>
          <w:tcPr>
            <w:tcW w:w="16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(Deficit) for the three months ended March 31, 2022 and 2021</w:t>
            </w:r>
          </w:p>
        </w:tc>
        <w:tc>
          <w:tcPr>
            <w:tcW w:w="2140" w:type="dxa"/>
            <w:vAlign w:val="bottom"/>
            <w:gridSpan w:val="3"/>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three months ended March 31, 2022 and 2021</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480" w:type="dxa"/>
            <w:vAlign w:val="bottom"/>
            <w:gridSpan w:val="6"/>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c>
          <w:tcPr>
            <w:tcW w:w="0" w:type="dxa"/>
            <w:vAlign w:val="bottom"/>
          </w:tcPr>
          <w:p>
            <w:pPr>
              <w:spacing w:after="0" w:line="20" w:lineRule="exact"/>
              <w:rPr>
                <w:sz w:val="1"/>
                <w:szCs w:val="1"/>
                <w:color w:val="auto"/>
              </w:rPr>
            </w:pPr>
          </w:p>
        </w:tc>
      </w:tr>
      <w:tr>
        <w:trPr>
          <w:trHeight w:val="458"/>
        </w:trPr>
        <w:tc>
          <w:tcPr>
            <w:tcW w:w="102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240" w:type="dxa"/>
            <w:vAlign w:val="bottom"/>
            <w:gridSpan w:val="14"/>
            <w:vMerge w:val="continue"/>
          </w:tcPr>
          <w:p>
            <w:pPr>
              <w:spacing w:after="0"/>
              <w:rPr>
                <w:sz w:val="13"/>
                <w:szCs w:val="13"/>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F-15</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2021 and December 31, 2020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F-16</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years ended December 31, 2021 and 2020</w:t>
            </w:r>
          </w:p>
        </w:tc>
        <w:tc>
          <w:tcPr>
            <w:tcW w:w="1960" w:type="dxa"/>
            <w:vAlign w:val="bottom"/>
            <w:gridSpan w:val="2"/>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F-17</w:t>
            </w:r>
          </w:p>
        </w:tc>
        <w:tc>
          <w:tcPr>
            <w:tcW w:w="0" w:type="dxa"/>
            <w:vAlign w:val="bottom"/>
          </w:tcPr>
          <w:p>
            <w:pPr>
              <w:spacing w:after="0"/>
              <w:rPr>
                <w:sz w:val="1"/>
                <w:szCs w:val="1"/>
                <w:color w:val="auto"/>
              </w:rPr>
            </w:pPr>
          </w:p>
        </w:tc>
      </w:tr>
      <w:tr>
        <w:trPr>
          <w:trHeight w:val="196"/>
        </w:trPr>
        <w:tc>
          <w:tcPr>
            <w:tcW w:w="10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(Deficit) for the years ended December 31, 2021 and 2020</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F-18</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6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2021 and 2020</w:t>
            </w:r>
          </w:p>
        </w:tc>
        <w:tc>
          <w:tcPr>
            <w:tcW w:w="1320" w:type="dxa"/>
            <w:vAlign w:val="bottom"/>
            <w:tcBorders>
              <w:top w:val="single" w:sz="8" w:color="0000EE"/>
            </w:tcBorders>
            <w:gridSpan w:val="3"/>
          </w:tcPr>
          <w:p>
            <w:pPr>
              <w:spacing w:after="0"/>
              <w:rPr>
                <w:sz w:val="17"/>
                <w:szCs w:val="17"/>
                <w:color w:val="auto"/>
              </w:rPr>
            </w:pPr>
          </w:p>
        </w:tc>
        <w:tc>
          <w:tcPr>
            <w:tcW w:w="2440" w:type="dxa"/>
            <w:vAlign w:val="bottom"/>
            <w:gridSpan w:val="4"/>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8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72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6"/>
                <w:szCs w:val="16"/>
                <w:color w:val="auto"/>
              </w:rPr>
            </w:pPr>
          </w:p>
        </w:tc>
        <w:tc>
          <w:tcPr>
            <w:tcW w:w="14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38"/>
        </w:trPr>
        <w:tc>
          <w:tcPr>
            <w:tcW w:w="586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04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2,343,829</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2,179,558</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1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2,343,829</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2,179,558</w:t>
            </w:r>
          </w:p>
        </w:tc>
        <w:tc>
          <w:tcPr>
            <w:tcW w:w="100" w:type="dxa"/>
            <w:vAlign w:val="bottom"/>
          </w:tcPr>
          <w:p>
            <w:pPr>
              <w:spacing w:after="0"/>
              <w:rPr>
                <w:sz w:val="18"/>
                <w:szCs w:val="18"/>
                <w:color w:val="auto"/>
              </w:rPr>
            </w:pPr>
          </w:p>
        </w:tc>
      </w:tr>
      <w:tr>
        <w:trPr>
          <w:trHeight w:val="216"/>
        </w:trPr>
        <w:tc>
          <w:tcPr>
            <w:tcW w:w="586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25,237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25,237</w:t>
            </w:r>
          </w:p>
        </w:tc>
      </w:tr>
      <w:tr>
        <w:trPr>
          <w:trHeight w:val="23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(11,657)</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(11,311)</w:t>
            </w:r>
          </w:p>
        </w:tc>
      </w:tr>
      <w:tr>
        <w:trPr>
          <w:trHeight w:val="209"/>
        </w:trPr>
        <w:tc>
          <w:tcPr>
            <w:tcW w:w="586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Furniture and fixtures, net</w:t>
            </w:r>
          </w:p>
        </w:tc>
        <w:tc>
          <w:tcPr>
            <w:tcW w:w="18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0" w:type="dxa"/>
            <w:vAlign w:val="bottom"/>
            <w:tcBorders>
              <w:top w:val="single" w:sz="8" w:color="EEEEEE"/>
            </w:tcBorders>
            <w:shd w:val="clear" w:color="auto" w:fill="EEEEEE"/>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576"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Co-development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Right of use asset, net of accumulated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4,304,167</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4,554,167</w:t>
            </w: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87,145</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w:t>
            </w:r>
          </w:p>
        </w:tc>
      </w:tr>
      <w:tr>
        <w:trPr>
          <w:trHeight w:val="210"/>
        </w:trPr>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4,391,312</w:t>
            </w:r>
          </w:p>
        </w:tc>
        <w:tc>
          <w:tcPr>
            <w:tcW w:w="3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4,572,092</w:t>
            </w:r>
          </w:p>
        </w:tc>
      </w:tr>
      <w:tr>
        <w:trPr>
          <w:trHeight w:val="223"/>
        </w:trPr>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6,748,722</w:t>
            </w:r>
          </w:p>
        </w:tc>
        <w:tc>
          <w:tcPr>
            <w:tcW w:w="3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6,765,576</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57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8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244,793</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134,092</w:t>
            </w:r>
          </w:p>
        </w:tc>
        <w:tc>
          <w:tcPr>
            <w:tcW w:w="80" w:type="dxa"/>
            <w:vAlign w:val="bottom"/>
          </w:tcPr>
          <w:p>
            <w:pPr>
              <w:spacing w:after="0"/>
              <w:rPr>
                <w:sz w:val="18"/>
                <w:szCs w:val="18"/>
                <w:color w:val="auto"/>
              </w:rPr>
            </w:pPr>
          </w:p>
        </w:tc>
      </w:tr>
      <w:tr>
        <w:trPr>
          <w:trHeight w:val="216"/>
        </w:trPr>
        <w:tc>
          <w:tcPr>
            <w:tcW w:w="74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264,539</w:t>
            </w:r>
          </w:p>
        </w:tc>
        <w:tc>
          <w:tcPr>
            <w:tcW w:w="4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199,126</w:t>
            </w:r>
          </w:p>
        </w:tc>
        <w:tc>
          <w:tcPr>
            <w:tcW w:w="80" w:type="dxa"/>
            <w:vAlign w:val="bottom"/>
            <w:shd w:val="clear" w:color="auto" w:fill="EEEEEE"/>
          </w:tcPr>
          <w:p>
            <w:pPr>
              <w:spacing w:after="0"/>
              <w:rPr>
                <w:sz w:val="18"/>
                <w:szCs w:val="18"/>
                <w:color w:val="auto"/>
              </w:rPr>
            </w:pP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2,167,000</w:t>
            </w: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2,417,000</w:t>
            </w:r>
          </w:p>
        </w:tc>
        <w:tc>
          <w:tcPr>
            <w:tcW w:w="80" w:type="dxa"/>
            <w:vAlign w:val="bottom"/>
          </w:tcPr>
          <w:p>
            <w:pPr>
              <w:spacing w:after="0"/>
              <w:rPr>
                <w:sz w:val="18"/>
                <w:szCs w:val="18"/>
                <w:color w:val="auto"/>
              </w:rPr>
            </w:pPr>
          </w:p>
        </w:tc>
      </w:tr>
      <w:tr>
        <w:trPr>
          <w:trHeight w:val="216"/>
        </w:trPr>
        <w:tc>
          <w:tcPr>
            <w:tcW w:w="74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Notes payable, related parties, current portion</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liability, current portion</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28,854</w:t>
            </w:r>
          </w:p>
        </w:tc>
        <w:tc>
          <w:tcPr>
            <w:tcW w:w="40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14,724</w:t>
            </w:r>
          </w:p>
        </w:tc>
      </w:tr>
      <w:tr>
        <w:trPr>
          <w:trHeight w:val="229"/>
        </w:trPr>
        <w:tc>
          <w:tcPr>
            <w:tcW w:w="74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9"/>
                <w:szCs w:val="19"/>
                <w:color w:val="auto"/>
              </w:rPr>
            </w:pPr>
          </w:p>
        </w:tc>
        <w:tc>
          <w:tcPr>
            <w:tcW w:w="12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8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2,705,186</w:t>
            </w:r>
          </w:p>
        </w:tc>
        <w:tc>
          <w:tcPr>
            <w:tcW w:w="32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2,764,942</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7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Note payable</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1,650,000</w:t>
            </w:r>
          </w:p>
        </w:tc>
        <w:tc>
          <w:tcPr>
            <w:tcW w:w="4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1,650,000</w:t>
            </w:r>
          </w:p>
        </w:tc>
        <w:tc>
          <w:tcPr>
            <w:tcW w:w="80" w:type="dxa"/>
            <w:vAlign w:val="bottom"/>
            <w:shd w:val="clear" w:color="auto" w:fill="EEEEEE"/>
          </w:tcPr>
          <w:p>
            <w:pPr>
              <w:spacing w:after="0"/>
              <w:rPr>
                <w:sz w:val="18"/>
                <w:szCs w:val="18"/>
                <w:color w:val="auto"/>
              </w:rPr>
            </w:pPr>
          </w:p>
        </w:tc>
      </w:tr>
      <w:tr>
        <w:trPr>
          <w:trHeight w:val="22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liability, non-current portion</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56,341</w:t>
            </w:r>
          </w:p>
        </w:tc>
        <w:tc>
          <w:tcPr>
            <w:tcW w:w="40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8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8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1,706,341</w:t>
            </w:r>
          </w:p>
        </w:tc>
        <w:tc>
          <w:tcPr>
            <w:tcW w:w="3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63"/>
        </w:trPr>
        <w:tc>
          <w:tcPr>
            <w:tcW w:w="748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EEEEEE"/>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4,411,527</w:t>
            </w:r>
          </w:p>
        </w:tc>
        <w:tc>
          <w:tcPr>
            <w:tcW w:w="320" w:type="dxa"/>
            <w:vAlign w:val="bottom"/>
            <w:tcBorders>
              <w:bottom w:val="single" w:sz="8" w:color="EEEEEE"/>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4,414,942</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74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748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10,000,000 shares authorized, 8,000 and 8,000 shares</w:t>
            </w:r>
          </w:p>
        </w:tc>
        <w:tc>
          <w:tcPr>
            <w:tcW w:w="1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4"/>
        </w:trPr>
        <w:tc>
          <w:tcPr>
            <w:tcW w:w="74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EEEEEE"/>
          </w:tcPr>
          <w:p>
            <w:pPr>
              <w:spacing w:after="0"/>
              <w:rPr>
                <w:sz w:val="20"/>
                <w:szCs w:val="20"/>
                <w:color w:val="auto"/>
              </w:rPr>
            </w:pPr>
          </w:p>
        </w:tc>
        <w:tc>
          <w:tcPr>
            <w:tcW w:w="12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74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750,000,000 shares authorized, 38,429,397 shares issued and</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March 31, 2022, and 37,082,864 shares issued and 36,754,064 shares outstanding</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2021</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3,718</w:t>
            </w:r>
          </w:p>
        </w:tc>
        <w:tc>
          <w:tcPr>
            <w:tcW w:w="4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3,550</w:t>
            </w:r>
          </w:p>
        </w:tc>
        <w:tc>
          <w:tcPr>
            <w:tcW w:w="80" w:type="dxa"/>
            <w:vAlign w:val="bottom"/>
          </w:tcPr>
          <w:p>
            <w:pPr>
              <w:spacing w:after="0"/>
              <w:rPr>
                <w:sz w:val="20"/>
                <w:szCs w:val="20"/>
                <w:color w:val="auto"/>
              </w:rPr>
            </w:pPr>
          </w:p>
        </w:tc>
      </w:tr>
      <w:tr>
        <w:trPr>
          <w:trHeight w:val="216"/>
        </w:trPr>
        <w:tc>
          <w:tcPr>
            <w:tcW w:w="74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49,060,797</w:t>
            </w: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30,144,374</w:t>
            </w:r>
          </w:p>
        </w:tc>
      </w:tr>
      <w:tr>
        <w:trPr>
          <w:trHeight w:val="216"/>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subscribed</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w:t>
            </w:r>
          </w:p>
        </w:tc>
        <w:tc>
          <w:tcPr>
            <w:tcW w:w="40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(247,165)</w:t>
            </w:r>
          </w:p>
        </w:tc>
      </w:tr>
      <w:tr>
        <w:trPr>
          <w:trHeight w:val="22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(46,729,821)</w:t>
            </w:r>
          </w:p>
        </w:tc>
        <w:tc>
          <w:tcPr>
            <w:tcW w:w="40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(27,550,126)</w:t>
            </w:r>
          </w:p>
        </w:tc>
      </w:tr>
      <w:tr>
        <w:trPr>
          <w:trHeight w:val="210"/>
        </w:trPr>
        <w:tc>
          <w:tcPr>
            <w:tcW w:w="748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2,337,195</w:t>
            </w:r>
          </w:p>
        </w:tc>
        <w:tc>
          <w:tcPr>
            <w:tcW w:w="3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2,350,634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7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6,748,722</w:t>
            </w:r>
          </w:p>
        </w:tc>
        <w:tc>
          <w:tcPr>
            <w:tcW w:w="3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6,765,576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5"/>
          </w:tcPr>
          <w:p>
            <w:pPr>
              <w:jc w:val="right"/>
              <w:ind w:right="1121"/>
              <w:spacing w:after="0"/>
              <w:rPr>
                <w:sz w:val="20"/>
                <w:szCs w:val="20"/>
                <w:color w:val="auto"/>
              </w:rPr>
            </w:pPr>
            <w:r>
              <w:rPr>
                <w:rFonts w:ascii="Times New Roman" w:cs="Times New Roman" w:eastAsia="Times New Roman" w:hAnsi="Times New Roman"/>
                <w:sz w:val="18"/>
                <w:szCs w:val="18"/>
                <w:b w:val="1"/>
                <w:bCs w:val="1"/>
                <w:color w:val="auto"/>
              </w:rPr>
              <w:t>3 Months Ended</w:t>
            </w:r>
          </w:p>
        </w:tc>
      </w:tr>
      <w:tr>
        <w:trPr>
          <w:trHeight w:val="223"/>
        </w:trPr>
        <w:tc>
          <w:tcPr>
            <w:tcW w:w="6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00" w:type="dxa"/>
            <w:vAlign w:val="bottom"/>
          </w:tcPr>
          <w:p>
            <w:pPr>
              <w:spacing w:after="0"/>
              <w:rPr>
                <w:sz w:val="19"/>
                <w:szCs w:val="19"/>
                <w:color w:val="auto"/>
              </w:rPr>
            </w:pPr>
          </w:p>
        </w:tc>
      </w:tr>
      <w:tr>
        <w:trPr>
          <w:trHeight w:val="210"/>
        </w:trPr>
        <w:tc>
          <w:tcPr>
            <w:tcW w:w="60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Consulting services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75,000</w:t>
            </w:r>
          </w:p>
        </w:tc>
      </w:tr>
      <w:tr>
        <w:trPr>
          <w:trHeight w:val="229"/>
        </w:trPr>
        <w:tc>
          <w:tcPr>
            <w:tcW w:w="60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6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sales</w:t>
            </w:r>
          </w:p>
        </w:tc>
        <w:tc>
          <w:tcPr>
            <w:tcW w:w="1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r>
      <w:tr>
        <w:trPr>
          <w:trHeight w:val="230"/>
        </w:trPr>
        <w:tc>
          <w:tcPr>
            <w:tcW w:w="60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Cost of goods, including inventory obsolesence</w:t>
            </w:r>
          </w:p>
        </w:tc>
        <w:tc>
          <w:tcPr>
            <w:tcW w:w="16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8"/>
                <w:szCs w:val="18"/>
                <w:color w:val="auto"/>
              </w:rPr>
            </w:pPr>
          </w:p>
        </w:tc>
      </w:tr>
      <w:tr>
        <w:trPr>
          <w:trHeight w:val="216"/>
        </w:trPr>
        <w:tc>
          <w:tcPr>
            <w:tcW w:w="600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15,715,315</w:t>
            </w:r>
          </w:p>
        </w:tc>
        <w:tc>
          <w:tcPr>
            <w:tcW w:w="140" w:type="dxa"/>
            <w:vAlign w:val="bottom"/>
          </w:tcPr>
          <w:p>
            <w:pPr>
              <w:spacing w:after="0"/>
              <w:rPr>
                <w:sz w:val="18"/>
                <w:szCs w:val="18"/>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1,737,426</w:t>
            </w:r>
          </w:p>
        </w:tc>
      </w:tr>
      <w:tr>
        <w:trPr>
          <w:trHeight w:val="216"/>
        </w:trPr>
        <w:tc>
          <w:tcPr>
            <w:tcW w:w="60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6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2,918</w:t>
            </w:r>
          </w:p>
        </w:tc>
      </w:tr>
      <w:tr>
        <w:trPr>
          <w:trHeight w:val="22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55,819</w:t>
            </w:r>
          </w:p>
        </w:tc>
        <w:tc>
          <w:tcPr>
            <w:tcW w:w="140" w:type="dxa"/>
            <w:vAlign w:val="bottom"/>
          </w:tcPr>
          <w:p>
            <w:pPr>
              <w:spacing w:after="0"/>
              <w:rPr>
                <w:sz w:val="19"/>
                <w:szCs w:val="19"/>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34,737</w:t>
            </w:r>
          </w:p>
        </w:tc>
      </w:tr>
      <w:tr>
        <w:trPr>
          <w:trHeight w:val="210"/>
        </w:trPr>
        <w:tc>
          <w:tcPr>
            <w:tcW w:w="60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15,771,134</w:t>
            </w: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1,775,081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16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(15,771,134)</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(1,700,081)</w:t>
            </w:r>
          </w:p>
        </w:tc>
      </w:tr>
      <w:tr>
        <w:trPr>
          <w:trHeight w:val="216"/>
        </w:trPr>
        <w:tc>
          <w:tcPr>
            <w:tcW w:w="6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Royalties and licensing fees</w:t>
            </w:r>
          </w:p>
        </w:tc>
        <w:tc>
          <w:tcPr>
            <w:tcW w:w="16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30"/>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(3,408,559)</w:t>
            </w:r>
          </w:p>
        </w:tc>
        <w:tc>
          <w:tcPr>
            <w:tcW w:w="140" w:type="dxa"/>
            <w:vAlign w:val="bottom"/>
          </w:tcPr>
          <w:p>
            <w:pPr>
              <w:spacing w:after="0"/>
              <w:rPr>
                <w:sz w:val="19"/>
                <w:szCs w:val="19"/>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0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(3,408,559</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(19,179,693)</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(1,950,081)</w:t>
            </w:r>
          </w:p>
        </w:tc>
      </w:tr>
      <w:tr>
        <w:trPr>
          <w:trHeight w:val="216"/>
        </w:trPr>
        <w:tc>
          <w:tcPr>
            <w:tcW w:w="6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 (BENEFIT)</w:t>
            </w:r>
          </w:p>
        </w:tc>
        <w:tc>
          <w:tcPr>
            <w:tcW w:w="16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00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(19,179,693</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(1,950,081</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6000" w:type="dxa"/>
            <w:vAlign w:val="bottom"/>
            <w:shd w:val="clear" w:color="auto" w:fill="EEEEEE"/>
          </w:tcPr>
          <w:p>
            <w:pPr>
              <w:spacing w:after="0"/>
              <w:rPr>
                <w:sz w:val="17"/>
                <w:szCs w:val="17"/>
                <w:color w:val="auto"/>
              </w:rPr>
            </w:pPr>
          </w:p>
        </w:tc>
        <w:tc>
          <w:tcPr>
            <w:tcW w:w="16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 basic and fully diluted</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196"/>
        </w:trPr>
        <w:tc>
          <w:tcPr>
            <w:tcW w:w="6000" w:type="dxa"/>
            <w:vAlign w:val="bottom"/>
            <w:tcBorders>
              <w:top w:val="single" w:sz="8" w:color="EEEEEE"/>
            </w:tcBorders>
            <w:shd w:val="clear" w:color="auto" w:fill="EEEEEE"/>
          </w:tcPr>
          <w:p>
            <w:pPr>
              <w:spacing w:after="0"/>
              <w:rPr>
                <w:sz w:val="17"/>
                <w:szCs w:val="17"/>
                <w:color w:val="auto"/>
              </w:rPr>
            </w:pPr>
          </w:p>
        </w:tc>
        <w:tc>
          <w:tcPr>
            <w:tcW w:w="166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144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14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4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37,421,421</w:t>
            </w:r>
          </w:p>
        </w:tc>
        <w:tc>
          <w:tcPr>
            <w:tcW w:w="140" w:type="dxa"/>
            <w:vAlign w:val="bottom"/>
          </w:tcPr>
          <w:p>
            <w:pPr>
              <w:spacing w:after="0"/>
              <w:rPr>
                <w:sz w:val="21"/>
                <w:szCs w:val="21"/>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28,665,384</w:t>
            </w:r>
          </w:p>
        </w:tc>
      </w:tr>
      <w:tr>
        <w:trPr>
          <w:trHeight w:val="20"/>
        </w:trPr>
        <w:tc>
          <w:tcPr>
            <w:tcW w:w="7660" w:type="dxa"/>
            <w:vAlign w:val="bottom"/>
            <w:gridSpan w:val="2"/>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560" w:type="dxa"/>
            <w:vAlign w:val="bottom"/>
            <w:gridSpan w:val="5"/>
          </w:tcPr>
          <w:p>
            <w:pPr>
              <w:ind w:left="178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2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6"/>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3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6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78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4"/>
            <w:vMerge w:val="continue"/>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3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SUBSCRIBED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7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25,178,840</w:t>
            </w:r>
          </w:p>
        </w:tc>
        <w:tc>
          <w:tcPr>
            <w:tcW w:w="280" w:type="dxa"/>
            <w:vAlign w:val="bottom"/>
            <w:gridSpan w:val="2"/>
            <w:shd w:val="clear" w:color="auto" w:fill="EEEEEE"/>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2,519</w:t>
            </w:r>
          </w:p>
        </w:tc>
        <w:tc>
          <w:tcPr>
            <w:tcW w:w="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8,954,985</w:t>
            </w:r>
          </w:p>
        </w:tc>
        <w:tc>
          <w:tcPr>
            <w:tcW w:w="16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(14,100,846)</w:t>
            </w:r>
          </w:p>
        </w:tc>
        <w:tc>
          <w:tcPr>
            <w:tcW w:w="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4"/>
                <w:szCs w:val="14"/>
                <w:color w:val="auto"/>
              </w:rPr>
              <w:t>(5,143,343)</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6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720" w:type="dxa"/>
            <w:vAlign w:val="bottom"/>
            <w:gridSpan w:val="2"/>
            <w:vMerge w:val="restart"/>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440" w:type="dxa"/>
            <w:vAlign w:val="bottom"/>
            <w:gridSpan w:val="2"/>
            <w:vMerge w:val="restart"/>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1,589,400</w:t>
            </w:r>
          </w:p>
        </w:tc>
        <w:tc>
          <w:tcPr>
            <w:tcW w:w="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64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0"/>
                <w:szCs w:val="10"/>
                <w:color w:val="auto"/>
              </w:rPr>
            </w:pPr>
          </w:p>
        </w:tc>
        <w:tc>
          <w:tcPr>
            <w:tcW w:w="92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(298,062)</w:t>
            </w: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920" w:type="dxa"/>
            <w:vAlign w:val="bottom"/>
            <w:gridSpan w:val="2"/>
            <w:vMerge w:val="restart"/>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0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8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20" w:type="dxa"/>
            <w:vAlign w:val="bottom"/>
            <w:gridSpan w:val="2"/>
            <w:vMerge w:val="restart"/>
            <w:shd w:val="clear" w:color="auto" w:fill="EEEEEE"/>
          </w:tcPr>
          <w:p>
            <w:pPr>
              <w:jc w:val="right"/>
              <w:ind w:right="40"/>
              <w:spacing w:after="0"/>
              <w:rPr>
                <w:sz w:val="20"/>
                <w:szCs w:val="20"/>
                <w:color w:val="auto"/>
              </w:rPr>
            </w:pPr>
            <w:r>
              <w:rPr>
                <w:rFonts w:ascii="Times New Roman" w:cs="Times New Roman" w:eastAsia="Times New Roman" w:hAnsi="Times New Roman"/>
                <w:sz w:val="14"/>
                <w:szCs w:val="14"/>
                <w:color w:val="auto"/>
              </w:rPr>
              <w:t>(298,061)</w:t>
            </w:r>
          </w:p>
        </w:tc>
        <w:tc>
          <w:tcPr>
            <w:tcW w:w="0" w:type="dxa"/>
            <w:vAlign w:val="bottom"/>
          </w:tcPr>
          <w:p>
            <w:pPr>
              <w:spacing w:after="0"/>
              <w:rPr>
                <w:sz w:val="1"/>
                <w:szCs w:val="1"/>
                <w:color w:val="auto"/>
              </w:rPr>
            </w:pPr>
          </w:p>
        </w:tc>
      </w:tr>
      <w:tr>
        <w:trPr>
          <w:trHeight w:val="171"/>
        </w:trPr>
        <w:tc>
          <w:tcPr>
            <w:tcW w:w="2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recapitalization</w:t>
            </w:r>
          </w:p>
        </w:tc>
        <w:tc>
          <w:tcPr>
            <w:tcW w:w="7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440" w:type="dxa"/>
            <w:vAlign w:val="bottom"/>
            <w:gridSpan w:val="2"/>
            <w:vMerge w:val="continue"/>
            <w:shd w:val="clear" w:color="auto" w:fill="EEEEEE"/>
          </w:tcPr>
          <w:p>
            <w:pPr>
              <w:spacing w:after="0"/>
              <w:rPr>
                <w:sz w:val="14"/>
                <w:szCs w:val="14"/>
                <w:color w:val="auto"/>
              </w:rPr>
            </w:pPr>
          </w:p>
        </w:tc>
        <w:tc>
          <w:tcPr>
            <w:tcW w:w="860" w:type="dxa"/>
            <w:vAlign w:val="bottom"/>
            <w:gridSpan w:val="2"/>
            <w:vMerge w:val="continue"/>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640" w:type="dxa"/>
            <w:vAlign w:val="bottom"/>
            <w:gridSpan w:val="2"/>
            <w:vMerge w:val="continue"/>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80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8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8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7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40" w:type="dxa"/>
            <w:vAlign w:val="bottom"/>
            <w:gridSpan w:val="2"/>
            <w:shd w:val="clear" w:color="auto" w:fill="EEEEEE"/>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2,436,500</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2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2,436,256</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471,000</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2,907,500</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7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40" w:type="dxa"/>
            <w:vAlign w:val="bottom"/>
            <w:gridSpan w:val="2"/>
            <w:shd w:val="clear" w:color="auto" w:fill="EEEEEE"/>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770,000</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2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769,923</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770,000</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Equity Investment</w:t>
            </w:r>
          </w:p>
        </w:tc>
        <w:tc>
          <w:tcPr>
            <w:tcW w:w="7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40" w:type="dxa"/>
            <w:vAlign w:val="bottom"/>
            <w:gridSpan w:val="2"/>
            <w:shd w:val="clear" w:color="auto" w:fill="EEEEEE"/>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4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6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8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(1,950,081)</w:t>
            </w:r>
          </w:p>
        </w:tc>
        <w:tc>
          <w:tcPr>
            <w:tcW w:w="8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8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4"/>
                <w:szCs w:val="14"/>
                <w:color w:val="auto"/>
              </w:rPr>
              <w:t>(1,950,081)</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BALANCE AT MARCH 31, 2021</w:t>
            </w:r>
          </w:p>
        </w:tc>
        <w:tc>
          <w:tcPr>
            <w:tcW w:w="7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8,000</w:t>
            </w:r>
          </w:p>
        </w:tc>
        <w:tc>
          <w:tcPr>
            <w:tcW w:w="52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29,974,740</w:t>
            </w:r>
          </w:p>
        </w:tc>
        <w:tc>
          <w:tcPr>
            <w:tcW w:w="280" w:type="dxa"/>
            <w:vAlign w:val="bottom"/>
            <w:gridSpan w:val="2"/>
            <w:shd w:val="clear" w:color="auto" w:fill="EEEEEE"/>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2,840</w:t>
            </w:r>
          </w:p>
        </w:tc>
        <w:tc>
          <w:tcPr>
            <w:tcW w:w="12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11,863,102</w:t>
            </w:r>
          </w:p>
        </w:tc>
        <w:tc>
          <w:tcPr>
            <w:tcW w:w="16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471,000</w:t>
            </w:r>
          </w:p>
        </w:tc>
        <w:tc>
          <w:tcPr>
            <w:tcW w:w="20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EEEEEE"/>
          </w:tcPr>
          <w:p>
            <w:pPr>
              <w:jc w:val="right"/>
              <w:ind w:right="60"/>
              <w:spacing w:after="0" w:line="216" w:lineRule="exact"/>
              <w:rPr>
                <w:sz w:val="20"/>
                <w:szCs w:val="20"/>
                <w:color w:val="auto"/>
              </w:rPr>
            </w:pPr>
            <w:r>
              <w:rPr>
                <w:rFonts w:ascii="Times New Roman" w:cs="Times New Roman" w:eastAsia="Times New Roman" w:hAnsi="Times New Roman"/>
                <w:sz w:val="13"/>
                <w:szCs w:val="13"/>
                <w:color w:val="auto"/>
              </w:rPr>
              <w:t>(16,050,927</w:t>
            </w:r>
            <w:r>
              <w:rPr>
                <w:rFonts w:ascii="Times New Roman" w:cs="Times New Roman" w:eastAsia="Times New Roman" w:hAnsi="Times New Roman"/>
                <w:sz w:val="25"/>
                <w:szCs w:val="25"/>
                <w:color w:val="auto"/>
                <w:vertAlign w:val="superscript"/>
              </w:rPr>
              <w:t>)</w:t>
            </w:r>
          </w:p>
        </w:tc>
        <w:tc>
          <w:tcPr>
            <w:tcW w:w="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EEEEEE"/>
          </w:tcPr>
          <w:p>
            <w:pPr>
              <w:jc w:val="right"/>
              <w:ind w:right="40"/>
              <w:spacing w:after="0" w:line="216" w:lineRule="exact"/>
              <w:rPr>
                <w:sz w:val="20"/>
                <w:szCs w:val="20"/>
                <w:color w:val="auto"/>
              </w:rPr>
            </w:pPr>
            <w:r>
              <w:rPr>
                <w:rFonts w:ascii="Times New Roman" w:cs="Times New Roman" w:eastAsia="Times New Roman" w:hAnsi="Times New Roman"/>
                <w:sz w:val="13"/>
                <w:szCs w:val="13"/>
                <w:color w:val="auto"/>
              </w:rPr>
              <w:t>(3,713,985</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20"/>
        </w:trPr>
        <w:tc>
          <w:tcPr>
            <w:tcW w:w="23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7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8,000</w:t>
            </w:r>
          </w:p>
        </w:tc>
        <w:tc>
          <w:tcPr>
            <w:tcW w:w="52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37,082,864</w:t>
            </w:r>
          </w:p>
        </w:tc>
        <w:tc>
          <w:tcPr>
            <w:tcW w:w="280" w:type="dxa"/>
            <w:vAlign w:val="bottom"/>
            <w:gridSpan w:val="2"/>
            <w:shd w:val="clear" w:color="auto" w:fill="EEEEEE"/>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3,550</w:t>
            </w:r>
          </w:p>
        </w:tc>
        <w:tc>
          <w:tcPr>
            <w:tcW w:w="12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30,144,374</w:t>
            </w:r>
          </w:p>
        </w:tc>
        <w:tc>
          <w:tcPr>
            <w:tcW w:w="16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(247,165)</w:t>
            </w:r>
          </w:p>
        </w:tc>
        <w:tc>
          <w:tcPr>
            <w:tcW w:w="24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(27,550,126)</w:t>
            </w:r>
          </w:p>
        </w:tc>
        <w:tc>
          <w:tcPr>
            <w:tcW w:w="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2,350,634</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7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40" w:type="dxa"/>
            <w:vAlign w:val="bottom"/>
            <w:gridSpan w:val="2"/>
            <w:shd w:val="clear" w:color="auto" w:fill="EEEEEE"/>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421,999</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1,265,958</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1,266,000</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7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40" w:type="dxa"/>
            <w:vAlign w:val="bottom"/>
            <w:gridSpan w:val="2"/>
            <w:shd w:val="clear" w:color="auto" w:fill="EEEEEE"/>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1,180,000</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3,539,882</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3,540,000</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Retirement of shares</w:t>
            </w:r>
          </w:p>
        </w:tc>
        <w:tc>
          <w:tcPr>
            <w:tcW w:w="7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40" w:type="dxa"/>
            <w:vAlign w:val="bottom"/>
            <w:gridSpan w:val="2"/>
            <w:shd w:val="clear" w:color="auto" w:fill="EEEEEE"/>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(328,800)</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(247,165)</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247,165</w:t>
            </w:r>
          </w:p>
        </w:tc>
        <w:tc>
          <w:tcPr>
            <w:tcW w:w="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Warrants converted to shares</w:t>
            </w:r>
          </w:p>
        </w:tc>
        <w:tc>
          <w:tcPr>
            <w:tcW w:w="7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40" w:type="dxa"/>
            <w:vAlign w:val="bottom"/>
            <w:gridSpan w:val="2"/>
            <w:shd w:val="clear" w:color="auto" w:fill="EEEEEE"/>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73,334</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107,493</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110,000</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Warrants issued for services</w:t>
            </w:r>
          </w:p>
        </w:tc>
        <w:tc>
          <w:tcPr>
            <w:tcW w:w="7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440" w:type="dxa"/>
            <w:vAlign w:val="bottom"/>
            <w:gridSpan w:val="2"/>
            <w:shd w:val="clear" w:color="auto" w:fill="EEEEEE"/>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10,841,695</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10,841,695</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6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Warrants issued for extinguishment of</w:t>
            </w:r>
          </w:p>
        </w:tc>
        <w:tc>
          <w:tcPr>
            <w:tcW w:w="6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4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92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3,408,559</w:t>
            </w: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8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3,408,559</w:t>
            </w:r>
          </w:p>
        </w:tc>
        <w:tc>
          <w:tcPr>
            <w:tcW w:w="0" w:type="dxa"/>
            <w:vAlign w:val="bottom"/>
          </w:tcPr>
          <w:p>
            <w:pPr>
              <w:spacing w:after="0"/>
              <w:rPr>
                <w:sz w:val="1"/>
                <w:szCs w:val="1"/>
                <w:color w:val="auto"/>
              </w:rPr>
            </w:pPr>
          </w:p>
        </w:tc>
      </w:tr>
      <w:tr>
        <w:trPr>
          <w:trHeight w:val="171"/>
        </w:trPr>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debt</w:t>
            </w:r>
          </w:p>
        </w:tc>
        <w:tc>
          <w:tcPr>
            <w:tcW w:w="64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74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84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68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96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8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7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420" w:type="dxa"/>
            <w:vAlign w:val="bottom"/>
            <w:shd w:val="clear" w:color="auto" w:fill="EEEEEE"/>
          </w:tcPr>
          <w:p>
            <w:pPr>
              <w:spacing w:after="0"/>
              <w:rPr>
                <w:sz w:val="14"/>
                <w:szCs w:val="14"/>
                <w:color w:val="auto"/>
              </w:rPr>
            </w:pPr>
          </w:p>
        </w:tc>
        <w:tc>
          <w:tcPr>
            <w:tcW w:w="4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6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8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0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(19,179,693)</w:t>
            </w:r>
          </w:p>
        </w:tc>
        <w:tc>
          <w:tcPr>
            <w:tcW w:w="8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8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4"/>
                <w:szCs w:val="14"/>
                <w:color w:val="auto"/>
              </w:rPr>
              <w:t>(19,179,693)</w:t>
            </w: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BALANCE AT MARCH 31, 2022</w:t>
            </w:r>
          </w:p>
        </w:tc>
        <w:tc>
          <w:tcPr>
            <w:tcW w:w="7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8,000</w:t>
            </w:r>
          </w:p>
        </w:tc>
        <w:tc>
          <w:tcPr>
            <w:tcW w:w="52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38,429,397</w:t>
            </w:r>
          </w:p>
        </w:tc>
        <w:tc>
          <w:tcPr>
            <w:tcW w:w="280" w:type="dxa"/>
            <w:vAlign w:val="bottom"/>
            <w:gridSpan w:val="2"/>
            <w:shd w:val="clear" w:color="auto" w:fill="EEEEEE"/>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3,718</w:t>
            </w:r>
          </w:p>
        </w:tc>
        <w:tc>
          <w:tcPr>
            <w:tcW w:w="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49,060,797</w:t>
            </w:r>
          </w:p>
        </w:tc>
        <w:tc>
          <w:tcPr>
            <w:tcW w:w="16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2,500</w:t>
            </w:r>
          </w:p>
        </w:tc>
        <w:tc>
          <w:tcPr>
            <w:tcW w:w="200" w:type="dxa"/>
            <w:vAlign w:val="bottom"/>
            <w:gridSpan w:val="2"/>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EEEEEE"/>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EEEEEE"/>
          </w:tcPr>
          <w:p>
            <w:pPr>
              <w:jc w:val="right"/>
              <w:ind w:right="60"/>
              <w:spacing w:after="0" w:line="216" w:lineRule="exact"/>
              <w:rPr>
                <w:sz w:val="20"/>
                <w:szCs w:val="20"/>
                <w:color w:val="auto"/>
              </w:rPr>
            </w:pPr>
            <w:r>
              <w:rPr>
                <w:rFonts w:ascii="Times New Roman" w:cs="Times New Roman" w:eastAsia="Times New Roman" w:hAnsi="Times New Roman"/>
                <w:sz w:val="13"/>
                <w:szCs w:val="13"/>
                <w:color w:val="auto"/>
              </w:rPr>
              <w:t>(46,729,821</w:t>
            </w:r>
            <w:r>
              <w:rPr>
                <w:rFonts w:ascii="Times New Roman" w:cs="Times New Roman" w:eastAsia="Times New Roman" w:hAnsi="Times New Roman"/>
                <w:sz w:val="25"/>
                <w:szCs w:val="25"/>
                <w:color w:val="auto"/>
                <w:vertAlign w:val="superscript"/>
              </w:rPr>
              <w:t>)</w:t>
            </w:r>
          </w:p>
        </w:tc>
        <w:tc>
          <w:tcPr>
            <w:tcW w:w="1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2,337,195</w:t>
            </w:r>
          </w:p>
        </w:tc>
        <w:tc>
          <w:tcPr>
            <w:tcW w:w="0" w:type="dxa"/>
            <w:vAlign w:val="bottom"/>
          </w:tcPr>
          <w:p>
            <w:pPr>
              <w:spacing w:after="0"/>
              <w:rPr>
                <w:sz w:val="1"/>
                <w:szCs w:val="1"/>
                <w:color w:val="auto"/>
              </w:rPr>
            </w:pPr>
          </w:p>
        </w:tc>
      </w:tr>
      <w:tr>
        <w:trPr>
          <w:trHeight w:val="20"/>
        </w:trPr>
        <w:tc>
          <w:tcPr>
            <w:tcW w:w="23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5"/>
          </w:tcPr>
          <w:p>
            <w:pPr>
              <w:jc w:val="right"/>
              <w:ind w:right="1121"/>
              <w:spacing w:after="0"/>
              <w:rPr>
                <w:sz w:val="20"/>
                <w:szCs w:val="20"/>
                <w:color w:val="auto"/>
              </w:rPr>
            </w:pPr>
            <w:r>
              <w:rPr>
                <w:rFonts w:ascii="Times New Roman" w:cs="Times New Roman" w:eastAsia="Times New Roman" w:hAnsi="Times New Roman"/>
                <w:sz w:val="18"/>
                <w:szCs w:val="18"/>
                <w:b w:val="1"/>
                <w:bCs w:val="1"/>
                <w:color w:val="auto"/>
              </w:rPr>
              <w:t>3 Months Ended</w:t>
            </w:r>
          </w:p>
        </w:tc>
      </w:tr>
      <w:tr>
        <w:trPr>
          <w:trHeight w:val="223"/>
        </w:trPr>
        <w:tc>
          <w:tcPr>
            <w:tcW w:w="7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00" w:type="dxa"/>
            <w:vAlign w:val="bottom"/>
          </w:tcPr>
          <w:p>
            <w:pPr>
              <w:spacing w:after="0"/>
              <w:rPr>
                <w:sz w:val="19"/>
                <w:szCs w:val="19"/>
                <w:color w:val="auto"/>
              </w:rPr>
            </w:pPr>
          </w:p>
        </w:tc>
      </w:tr>
      <w:tr>
        <w:trPr>
          <w:trHeight w:val="209"/>
        </w:trPr>
        <w:tc>
          <w:tcPr>
            <w:tcW w:w="72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(19,179,693)</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(1,950,081)</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by operating activities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250,346</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termination of licensing agreement (in exchange for convertible debt)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770,000</w:t>
            </w:r>
          </w:p>
        </w:tc>
      </w:tr>
      <w:tr>
        <w:trPr>
          <w:trHeight w:val="216"/>
        </w:trPr>
        <w:tc>
          <w:tcPr>
            <w:tcW w:w="72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Shares issued for non-employee services</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3,540,000</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issued for extinguishment of debt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3,408,559</w:t>
            </w:r>
          </w:p>
        </w:tc>
        <w:tc>
          <w:tcPr>
            <w:tcW w:w="140" w:type="dxa"/>
            <w:vAlign w:val="bottom"/>
          </w:tcPr>
          <w:p>
            <w:pPr>
              <w:spacing w:after="0"/>
              <w:rPr>
                <w:sz w:val="18"/>
                <w:szCs w:val="18"/>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Warrants issued for services</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10,841,695</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Right of use asset/liability</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9,728</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110,701</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188,085</w:t>
            </w:r>
          </w:p>
        </w:tc>
      </w:tr>
      <w:tr>
        <w:trPr>
          <w:trHeight w:val="229"/>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65,413</w:t>
            </w:r>
          </w:p>
        </w:tc>
        <w:tc>
          <w:tcPr>
            <w:tcW w:w="140" w:type="dxa"/>
            <w:vAlign w:val="bottom"/>
          </w:tcPr>
          <w:p>
            <w:pPr>
              <w:spacing w:after="0"/>
              <w:rPr>
                <w:sz w:val="19"/>
                <w:szCs w:val="19"/>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326,517</w:t>
            </w:r>
          </w:p>
        </w:tc>
      </w:tr>
      <w:tr>
        <w:trPr>
          <w:trHeight w:val="209"/>
        </w:trPr>
        <w:tc>
          <w:tcPr>
            <w:tcW w:w="72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(961,729</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(655,270</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(122,405)</w:t>
            </w:r>
          </w:p>
        </w:tc>
      </w:tr>
      <w:tr>
        <w:trPr>
          <w:trHeight w:val="216"/>
        </w:trPr>
        <w:tc>
          <w:tcPr>
            <w:tcW w:w="72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paid for debt as part of merger/recapitalization</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(298,061)</w:t>
            </w: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cash</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1,266,000</w:t>
            </w:r>
          </w:p>
        </w:tc>
        <w:tc>
          <w:tcPr>
            <w:tcW w:w="140" w:type="dxa"/>
            <w:vAlign w:val="bottom"/>
          </w:tcPr>
          <w:p>
            <w:pPr>
              <w:spacing w:after="0"/>
              <w:rPr>
                <w:sz w:val="18"/>
                <w:szCs w:val="18"/>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2,907,500</w:t>
            </w:r>
          </w:p>
        </w:tc>
      </w:tr>
      <w:tr>
        <w:trPr>
          <w:trHeight w:val="216"/>
        </w:trPr>
        <w:tc>
          <w:tcPr>
            <w:tcW w:w="72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Shares issued for cash for the conversion of warrants</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107,500</w:t>
            </w:r>
          </w:p>
        </w:tc>
        <w:tc>
          <w:tcPr>
            <w:tcW w:w="1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for stock subscription</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9"/>
                <w:szCs w:val="19"/>
                <w:color w:val="auto"/>
              </w:rPr>
            </w:pP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2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1,126,000</w:t>
            </w: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2,487,034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164,272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1,831,764</w:t>
            </w:r>
          </w:p>
        </w:tc>
        <w:tc>
          <w:tcPr>
            <w:tcW w:w="100" w:type="dxa"/>
            <w:vAlign w:val="bottom"/>
          </w:tcPr>
          <w:p>
            <w:pPr>
              <w:spacing w:after="0"/>
              <w:rPr>
                <w:sz w:val="18"/>
                <w:szCs w:val="18"/>
                <w:color w:val="auto"/>
              </w:rPr>
            </w:pPr>
          </w:p>
        </w:tc>
      </w:tr>
      <w:tr>
        <w:trPr>
          <w:trHeight w:val="230"/>
        </w:trPr>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4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2,179,558</w:t>
            </w:r>
          </w:p>
        </w:tc>
        <w:tc>
          <w:tcPr>
            <w:tcW w:w="14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202,965</w:t>
            </w:r>
          </w:p>
        </w:tc>
      </w:tr>
      <w:tr>
        <w:trPr>
          <w:trHeight w:val="263"/>
        </w:trPr>
        <w:tc>
          <w:tcPr>
            <w:tcW w:w="72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46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2,343,829</w:t>
            </w:r>
          </w:p>
        </w:tc>
        <w:tc>
          <w:tcPr>
            <w:tcW w:w="32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2,034,729</w:t>
            </w:r>
          </w:p>
        </w:tc>
        <w:tc>
          <w:tcPr>
            <w:tcW w:w="100" w:type="dxa"/>
            <w:vAlign w:val="bottom"/>
            <w:tcBorders>
              <w:bottom w:val="single" w:sz="8" w:color="EEEEEE"/>
            </w:tcBorders>
          </w:tcPr>
          <w:p>
            <w:pPr>
              <w:spacing w:after="0"/>
              <w:rPr>
                <w:sz w:val="22"/>
                <w:szCs w:val="22"/>
                <w:color w:val="auto"/>
              </w:rPr>
            </w:pPr>
          </w:p>
        </w:tc>
      </w:tr>
      <w:tr>
        <w:trPr>
          <w:trHeight w:val="197"/>
        </w:trPr>
        <w:tc>
          <w:tcPr>
            <w:tcW w:w="72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Taxes paid (refunded)</w:t>
            </w: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Coeptis Pharmaceuticals, LLC (LLC) was formed in July 12, 2017 as a Pennsylvania multi-member limited liability company.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2018, the members of LLC contributed their interest to a newly formed corporation, Coeptis Pharmaceuticals, Inc (“Coeptis”).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2018, the LLC became a disregarded single-member limited liability company which is wholly owned by the newly formed corporation.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2021, Vinings Holdings, Inc., a Delaware corporation (“Vinings”), merged (the “Merger”) with and into Coeptis Pharmaceuticals, Inc.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12, 2021, the company has legally changed its name from Vinings Holdings, Inc. to Coeptis Therapeutics, Inc. Coeptis was the surviving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that Merger. As a result of the Merger, Vinings acquired the business of Coeptis and will continue the existing business operations of Coeptis as a wholly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subsidiary. The Merger was treated as a recapitalization of the Company for financial accounting purposes. The historical financial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Vinings before the Merger were replaced with the historical financial statements of Coeptis before the Merger in all future filings with the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located in Wexford, PA, and engages primarily in the acquisition, development, and commercialization of pharmaceutical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accompanying unaudited financial statements have been prepared in accordance with accounting principles generally accepted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United States of America (“GAAP”) for interim financial information and with the instructions to Form 10-Q and Rule 8-03 of Regulation S-X. Accordingly, they do not include all of the information and notes required by generally accepted accounting principles in the United States of America for complete financial statements. In the opinion of the Company’s management, any adjustments contained in the accompanying unaudited consolidated financial statements are of a normal recurring nature, and are necessary to fairly present the financial position of the Company as of March 31, 2022, along with its results of operations for the three month periods ended March 31, 2022 and 2021 and cash flows for the three-month periods ended March 31, 2022 and 2021. Interim financial statements are prepared on a basis consistent with the Company’s annual financial statements and should be read in conjunction with our Annual Report on Form 10-K for the fiscal year ended December 31, 2021. Results of operations for the three-month period ended March 31, 2022, are not necessarily indicative of the operating results that may be expected for the full year ending December 31, 2022.  </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Merger, the financial statements included in this report reflect (1) the historical operating results of Coeptis prior to the Merger; (2) the combined results of the Company and Coeptis following the closing of the Merger; (3) the assets and liabilities of Coeptis at their historical cost; and (4) the Company’s equity structure for all periods presented.</w:t>
      </w:r>
    </w:p>
    <w:p>
      <w:pPr>
        <w:spacing w:after="0" w:line="18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 </w:t>
      </w:r>
      <w:r>
        <w:rPr>
          <w:rFonts w:ascii="Times New Roman" w:cs="Times New Roman" w:eastAsia="Times New Roman" w:hAnsi="Times New Roman"/>
          <w:sz w:val="18"/>
          <w:szCs w:val="18"/>
          <w:color w:val="auto"/>
        </w:rPr>
        <w:t>The accompanying unaudited consolidated financial statements include the accounts of Coeptis Therapeutics Inc., Coeptis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 and its wholly-owned subsidiary, Coeptis Pharmaceuticals, LLC. All material intercompany accounts, balances and transactions have been eliminated.</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Risks and Uncertainties </w:t>
      </w:r>
      <w:r>
        <w:rPr>
          <w:rFonts w:ascii="Times New Roman" w:cs="Times New Roman" w:eastAsia="Times New Roman" w:hAnsi="Times New Roman"/>
          <w:sz w:val="18"/>
          <w:szCs w:val="18"/>
          <w:color w:val="auto"/>
        </w:rPr>
        <w:t>– In late 2019, an outbreak of a novel strain of the Coronavirus 2019 Disease (COVID-19) was identified and infections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found in a number of countries around the world, including the United States. COVID-19 and its impact on trade including customer demand, travel, employee productivity, supply chain, and other economic activities has had, and may continue to have, a potentially significant effect on financial markets and business activity. The extent of the impact of COVID-19 on the Company’s operational and financial performance is currently uncertain and cannot be predicted.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“Summary of Significant Accounting Policies,” in the Company’s Annual Report on Form 10-K filed with the U.S. Securities and Exchange Commission (“SEC”) on March 11, 2022. There have been no material changes to the significant accounting policies during the three month period ended March 31, 2022, except for items mentioned below.</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generally accepted accounting principles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ASU 2019-12 simplifies the accounting for income taxes by removing certain exceptions to the general principals in Topic 740. The amendments also improve consistent application of and simplify generally accepted accounting principles (GAAP) for other areas of Topic 740 by clarifying and amending the existing guidance. For public business entities, the guidance is effective for annual periods, and interim periods within those annual periods, beginning after December 15, 2020. Early adoption is permitted, including adoption in any interim period. The adoption of this standard, effective January 1, 2021, did not have a material impact on these financial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2022 and 2021, there were several new accounting pronouncements issued by the FASB. Each of these pronouncements, as applicable, has been or will be adopted by the Company. Management does not believe the adoption of any of these accounting pronouncements has had or will have a material impact on the Company’s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LICENSE RIGHT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2019, the Company entered into an agreement with a foreign entity to market, distribute, and sell the Consensi product (Product) on an exclusive basis within the United States and Puerto Rico. Upon execution of the Agreement the Company paid $1,000,000 to the foreign entity. Milestone payments were due as follows; (1) $1,500,000 upon completion of the CMC Plan as reimbursements of costs incurred by the foreign entity, (2) $1,000,000 was due upon first commercial sale of the Product which occurred in June 2020. Milestones were not met as of March 31,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of 2021, the Company executed a license termination agreement with the foreign entity to cease all efforts for sales and promotion of the product in the United States and Puerto Rico. The termination included (i) issuance of $1,500,000 of convertible debt due in 2023 to satisfy amounts owed for the license, (ii) the issue of warrants (See NOTE 5) and (iii) transfer of inventory ownership back to the foreign entity. In conjunction with this termination, the Company also terminated its marketing agreement with a third party for the Product’s sales and promotion.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the Company and VyGen-Bio, Inc. (“Vy-Gen”) entered into agreements to jointly develop and commercialize two Vy-Gen product candidates, CD38-GEAR-NK and CD38-Diagnostic (the “CD38 Assets”). The Company paid $1,750,000 and issued promissory notes totaling $3,250,000 to Vy-Gen in accordance with the agreements. The collaboration arrangement provides the right for the Company to participate in the development and commercialization of the CD38 Assets and a 50/50 profit share, with the profit share subject to contingent automatic downward adjustment up to 25% upon an event of default in connection with the promissory notes. The Company capitalized $5,000,000 to be amortized over a five-year period in which the CD38 Assets are expected to contribute to future cash flows. As of March 31, 2022, the balance due under the two promissory notes totaled $1,500,000, with a maturity date of September 30, 2022.</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LONG-TERM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note payable agreement with an unrelated company with a conversion option. The principal amount of $200,000, which is unsecured, together with interest at 9% was due June 15, 2020. In lieu of cash repayment, the outstanding principal amount of the note, plus all accrued unpaid interest may be converted at the option of the party, in whole or in part, into shares of Common Stock. As of the December 31, 2020, the note had a balance of $200,000. The note and accrued interest were paid in full in the first quarter of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$500,000, which is secured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security agreement, together with interest at 8%, plus additional 2% in the event of default, was due February 8, 2021. The balance of the note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as of March 31, 2022 and 2021. The debt was in default as of March 31, 2022. As of April 14, 2022, the due date of the note was extended to July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 related party stockholder. The principal amount of $250,000, which is secured by a security agreement, together with interest at 8%, plus additional 2% in the event of default, was due February 8, 2021. This debt was converted to equity in June 2021. The balance of the note was $0 and $250,000 as of March 31, 2022 and 2021, respectively.  </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2020, the Company entered into another Senior Secured Note agreement with a stockholder. The principal amount of $250,000, which is secured by a security agreement, together with interest at 8%, plus additional 2% in the event of default, was due February 8, 2021. This debt was converted to equity in June 2021. The balance of the note is $0 and $250,000 as of as of March 31, 2022 and 2021, respectively.</w:t>
      </w:r>
    </w:p>
    <w:p>
      <w:pPr>
        <w:spacing w:after="0" w:line="18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$333,000, which is secured by a security agreement, together with interest at 8%, plus additional 2% in the event of default, was due February 8, 2021. This debt was converted to equity in June 2021. The balance of the note was $0 and $333,000 as of March 31, 2022 and 2021, respectively.  </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$167,000, which is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security agreement, together with interest at 8%, plus additional 2% in the event of default, was due February 8, 2021. The balance of the note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$167,000 as of as of March 31, 2022 and 2021. The debt was in default as of March 31, 2022. As of April 14, 2022, the due date of the note was extended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July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September 2020, the Company entered a non-interest bearing, unsecured note agreement with two shareholders for $104,000 with an unspecified due date. The note was converted to equity in June 2021. The balance was $0 and $104,000 as of March 31, 2022, and 2021, respectively.  </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September 2021, as part of a termination of license agreement with Purple BioTech, the Company issued a convertible note in the principal amount of $1,500,000 that is payable on or before February 2023, bearing interest of 5% per annum and convertible in whole or in part at any time by Purple BioTech into shares of Coeptis’ common stock. The conversion price is $5 per share of common stock, subject to certain adjustments under such terms and conditions as agreed between the parties. Coeptis may prepay the principal amount of the Note plus accrued and unpaid interest at any time, prior to the Maturity Date. Inventory, which has been fully written-off on the Company’s balance sheet, will be transferred back to Purple at Purple’s cost.  </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Loans under the CARES Act </w:t>
      </w:r>
      <w:r>
        <w:rPr>
          <w:rFonts w:ascii="Times New Roman" w:cs="Times New Roman" w:eastAsia="Times New Roman" w:hAnsi="Times New Roman"/>
          <w:sz w:val="18"/>
          <w:szCs w:val="18"/>
          <w:color w:val="auto"/>
        </w:rPr>
        <w:t>-- On May 6, 2020, the Company received loan proceeds in the amount of approximately $77,500 under the Paycheck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Program (“PPP”). The PPP, established as part of the Coronavirus Aid, Relief and Economic Security Act (“CARES Act”),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In February 2021, an additional $77,595 was received by the Company under the second round of PPP (“PPP2”). The Company has used the proceeds for purposes consistent with its intended use. Both the PPP and the PPP2 loans were forgiven in full, along with accrued interest, during 2021. The balance of the notes was $0 and $155,095 as of March 31, 2022 and 2021, respectively.</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 (unaudited)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8, 2020, the Company received a loan of $150,000 from the from the United States Small Business Administration (the “SBA”) under its Economic Injury Disaster Loan (“EIDL”) assistance program in light of the impact of the COVID-19 pandemic on the Company’s business. Proceeds are intended to be used for working capital purposes. Interest on the EIDL Loan accrues at the rate of 3.75% per annum and installment payments, including principal and interest, are due monthly in the amount of $731. Installment payments have been deferred by the SBA until January 2023. The balance of principal and interest is payable thirty years from the date of the promissory note. The balance of the loan is $150,000, as of March 31, 2022 and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long-term debt are as follows for the quarter ended March 31,</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vMerge w:val="restart"/>
          </w:tcPr>
          <w:p>
            <w:pPr>
              <w:spacing w:after="0"/>
              <w:rPr>
                <w:sz w:val="19"/>
                <w:szCs w:val="19"/>
                <w:color w:val="auto"/>
              </w:rPr>
            </w:pPr>
          </w:p>
        </w:tc>
        <w:tc>
          <w:tcPr>
            <w:tcW w:w="3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vMerge w:val="continue"/>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shd w:val="clear" w:color="auto" w:fill="EEEEEE"/>
          </w:tcPr>
          <w:p>
            <w:pPr>
              <w:spacing w:after="0"/>
              <w:rPr>
                <w:sz w:val="19"/>
                <w:szCs w:val="19"/>
                <w:color w:val="auto"/>
              </w:rPr>
            </w:pPr>
          </w:p>
        </w:tc>
        <w:tc>
          <w:tcPr>
            <w:tcW w:w="124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147,817</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 STRUCTURE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total number of shares of stock which the corporation shall have authority to issue is 760,000,000 shares, of which 750,000,000 shares of $0.0001 par value shall be designated as Common Stock and 10,000,000 shares of $0.0001 shall be designated as Preferred Stock. The Preferred Stock authorized by these Articles of Incorporation may be issued in one or more series. The Board of Directors of the Corporation is authorized to determine or alter the rights, preferences, privileges, and restrictions granted or imposed upon any wholly unissued series of Preferred Stock, and within the limitations or restrictions stated in any resolution or resolutions of the Board of Directors originally fixing the number of shares constituting any series, to increase or decrease (but not below the number of shares of any such series then outstanding) the number of shares of any such series subsequent to the issue of shares of that series, to determine the designation and par value of any series and to fix the numbers of shares of any series.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Common Stock - </w:t>
      </w:r>
      <w:r>
        <w:rPr>
          <w:rFonts w:ascii="Times New Roman" w:cs="Times New Roman" w:eastAsia="Times New Roman" w:hAnsi="Times New Roman"/>
          <w:sz w:val="18"/>
          <w:szCs w:val="18"/>
          <w:color w:val="auto"/>
        </w:rPr>
        <w:t>As of March 31, 2022 the Company had 38,429,397 shares of its common stock issued and outstanding, and on March 31, 2021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had 29,974,740 shares of its common stock issued and outstanding. All references to the common shares outstanding have been retroactively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to reflect the stock splits unless stated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and 2021, the Company raised capital by issuance of common stock above the stated par value. The contributed capital recognized as additional paid in capital during the quarter ended March 31, 2022 and 2021 was $18,916,423 and $2,908,117 respectively. During the quarter ended March, 31 2022 and 2021, there were $0 in capital distributions.</w:t>
      </w:r>
    </w:p>
    <w:p>
      <w:pPr>
        <w:spacing w:after="0" w:line="1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Treasury Stock – </w:t>
      </w:r>
      <w:r>
        <w:rPr>
          <w:rFonts w:ascii="Times New Roman" w:cs="Times New Roman" w:eastAsia="Times New Roman" w:hAnsi="Times New Roman"/>
          <w:sz w:val="18"/>
          <w:szCs w:val="18"/>
          <w:color w:val="auto"/>
        </w:rPr>
        <w:t>As part of the Merger in February of 2021, the Company repurchased 328,800 shares of its common stock previously held by Vinings’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The stock was recorded at the cost paid for it, of $247,165 and held as Treasury stock for the duration of 2021. Subsequent to year end, the Company retired the 328,800 shares of Treasury Stock, as of February 18, 2022.  </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Series A Preferred Stock - </w:t>
      </w:r>
      <w:r>
        <w:rPr>
          <w:rFonts w:ascii="Times New Roman" w:cs="Times New Roman" w:eastAsia="Times New Roman" w:hAnsi="Times New Roman"/>
          <w:sz w:val="18"/>
          <w:szCs w:val="18"/>
          <w:color w:val="auto"/>
        </w:rPr>
        <w:t>As of April 30, 2019, the Series A Preferred Stock had been canceled, and no shares remain outstanding. The rights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privileges of future issuances of the Series A Preferred stock will be determined at such time if and when they are issued. As of September 30, 2021, there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0 shares of Series A Preferred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Series B Convertible Preferred Stock - </w:t>
      </w:r>
      <w:r>
        <w:rPr>
          <w:rFonts w:ascii="Times New Roman" w:cs="Times New Roman" w:eastAsia="Times New Roman" w:hAnsi="Times New Roman"/>
          <w:sz w:val="18"/>
          <w:szCs w:val="18"/>
          <w:color w:val="auto"/>
        </w:rPr>
        <w:t>The Company designated 2,000,000 shares of Series B Convertible Preferred Stock with a par value of $0.0001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Initially, there will be no dividends due or payable on the Series B Preferred Stock. Any future terms with respect to dividends shall be determined by the Board consistent with the Corporation’s Certificate of Incorporation. Any and all such future terms concerning dividends shall be reflected in an amendment to this Certificate, which the Board shall promptly file or cause to be filed.  </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shares of the Series B Preferred Stock shall rank (i) senior to the Corporation’s Common Stock and any other class or series of capital stock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hereafter created, (ii) pari passu with any class or series of capital stock of the Corporation hereafter created and specifically ranking, by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on par with the Series B Preferred Stock and (iii) junior to any class or series of capital stock of the Corporation hereafter created specifically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ranking, by its terms, senior to the Series B Preferred Stock, in each case as to distribution of assets upon liquidation, dissolution or winding up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whether voluntary or involuntary.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B Preferred shall have no liquidation preference over any other class of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holder of outstanding shares of Series B Preferred Stock shall be entitled to the number of votes equal to equal to one thousand (1,000) Common Shares. Except as provided by law, or by the provisions establishing any other series of Preferred Stock, holders of Series B Preferred Stock and of any other outstanding series of Preferred Stock shall vote together with the holders of Common Stock as a single class.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shares of Series B Preferred Stock may, at any time and from time to time, convert (an “Optional Conversion”) each of its shares of Series 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into a 1,000 of fully paid and nonassessable shares of Common Stock; provided, however, that any Optional Conversion must involve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at least 100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a reverse split, the conversion ratio shall not be changed. However, in the event a forward split shall occur then the conversion ratio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modified to be increased by the same ratio as the forward split.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evaluated the Series B Preferred Stock in accordance with ASC 815 and has determined their conversion options were for equity and ASC 815 did not apply as of December 31, 2021. The Company has evaluated the Series B Preferred Stock in accordance with FASB ASC Subtopic 470-20-40 and has determined that there is no beneficial conversion feature that must be accounted for as of December 31, 2021.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there were 8,000 shares of Series B Preferred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Common Stock Warrants - </w:t>
      </w:r>
      <w:r>
        <w:rPr>
          <w:rFonts w:ascii="Times New Roman" w:cs="Times New Roman" w:eastAsia="Times New Roman" w:hAnsi="Times New Roman"/>
          <w:sz w:val="18"/>
          <w:szCs w:val="18"/>
          <w:color w:val="auto"/>
        </w:rPr>
        <w:t>On November 23, 2020, the Company issued a class A and a class B warrant to Coral Investment Partners, LP (“CIP”),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warrant granting CIP the right to purchase 500,000 shares of common stock at a price of $2 for Class A or $5 for Class B. The warrants expire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2023. The warrants also contain a cashless exercise provision and contained anti-dilution provisions. The warrants remain outstanding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2021. In October 2021, the Company was notified by the warrant holder that they intend to exercise its right to purchase shares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these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28, 2021, the Company issued a warrant to a third party in exchange for professional services, granting the warrant holder the right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shares of common stock at a price of $1 per share, 500,000 shares at $2 per share, and 500,000 shares at $5 per share. The warrants expire on June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2026. All warrants were outstanding on March 31,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30th, 2021, the Company issued a warrant to a third party in exchange for professional services, granting the warrant holder the right to purchase 200,000 shares of common stock at a price of $1 per share, 100,000 shares at $2 per share, and 100,000 shares at $5 per share. The warrants expire on July 26, 2026. 395,000 warrants were outstanding on March 31, 2022. 5,000 warrants at $1 per share were exercised on March 1, 2022.  </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22, 2021, the Company issued a warrant in conjunction with the termination of the license right (see Note 3) with Purple Biotech, granting Purple Biotech the right to purchase 300,000 shares of common stock at $5 per share, subject to certain adjustments. During 2021, the Company recorded $1,897,585 as general and administrative expense in condensed consolidated statement of operations upon immediate vesting of the Warrant. The warrant was valued using the Black-Scholes option pricing model using the following assumptions: 1) exercise price of $5.00 per share, 2) fair value of $6.50 per share, 3) discount rate of 0.48%, 3) dividend rate of 0%, and 4) a term of 3 years.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20, 2021, the Company issued a warrant to a third party in exchange for services to be provided, granting the warrant holder the right to purchase 600,000 shares of common stock at a price of $1 per share. The warrants expire on December 20, 2026. All warrants were outstanding on March 31, 2022.</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 (unaudited)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contemplation of a debt extension, granting the warrant holder the right to purchase 250,000 shares of common stock at a price of $1.50 per share. The warrants expire on January 31, 2024. The warrants were expensed immediately as a loss on extinguishment of debt. All warrants were outstanding on March 31, 2022. Subsequently, on April 14, 2022, an agreement was executed with the debt holder extending the maturity of the debt to July 31, 2022 in recognition of the warrants issued on January 28, 2022. This amendment was treated as a debt modification, and will be accounted for accordingly in the second quarter.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contemplation of a debt extension, granting the warrant holder the right to purchase 400,000 shares of common stock at a price of $1.50 per share. The warrants expire on January 31, 2024. The warrants expire on January 31, 2024. The warrants were expensed immediately as a loss on extinguishment of debt. All warrants were outstanding on March 31, 2022. Subsequently, on April 14, 2022, an agreement was executed with the debt holder extending the maturity of the debt to July 31, 2022 in recognition of the warrants issued on January 28, 2022. This amendment was treated as a debt modification, and will be accounted for accordingly in the second quarter.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775,000 shares of common stock at a price of $1.50 per share. The warrants expire on January 31, 2024. All warrants were outstanding on March 31,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200,000 shares of common stock at a price of $1.50 per share. The warrants expire on January 31, 2024. All warrants were outstanding on March 31,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350,000 shares of common stock at a price of $1.50 per share. The warrants expire on January 31, 2024. 296,666 warrants were outstanding on March 31, 2022. 53,335 warrants at $1.50 per share were exercised on March 1,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150,000 shares of common stock at a price of $1 per share and 150,000 shares at $2 per share. The warrants expire on January 31, 2024. All warrants were outstanding on March 31,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1,018,050 shares of common stock at a price of $1.50 per share. The warrants expire on January 31, 2024. All warrants were outstanding on March 31, 2022.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225,000 shares of common stock at a price of $1.50 per share. The warrants expire on January 31, 2024. 210,000 warrants were outstanding on March 31, 2022. 15,000 warrants at $1.50 per share were exercised on March 1,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100,000 shares of common stock at a price of $1 per share. The warrants expire on January 31, 2024. All warrants were outstanding on March 31,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100,000 shares of common stock at a price of $1.50 per share. The warrants expire on January 31, 2024. All warrants were outstanding on March 31,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100,000 shares of common stock at a price of $1.50 per share. The warrants expire on January 31, 2024. All warrants were outstanding on March 31,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a warrant to a third party in exchange for professional services, granting the warrant holder the right to purchase 52,050 shares of common stock at a price of $1.50 per share. The warrants expire on January 31, 2024. All warrants were outstanding on March 31, 2022.</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 (unaudited)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30, 2022, the Company issued a warrant to a third party in conjunction with an investment, granting the warrant holder the right to purchase 250,000 shares of common stock at a price of $3 per share. The warrants expire on March 30, 2024. All warrants were outstanding on March 31,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30, 2022, the Company issued a warrant to a third party in exchange for professional services, granting the warrant holder the right to purchase 300,000 shares of common stock at a price of $1.50 per share. The warrants expire on April 1, 2027. All warrants were outstanding on March 31,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issued as of March 31, 2022 were valued using the Black-Scholes option pricing model using the following assumptions: 1) exercise price ranging from $1.00 to $5.00 per share, 2) fair value ranging from $4.80 to $6.00 per share, 3) discount rate ranging from 1.15% to 2.31%, 3) dividend rate of 0%, and 4) a term ranging from 2 to 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ASSET PURCHASE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18, 2019, the Company entered into an Asset Purchase Agreement with ANI Pharmaceuticals, Inc. (ANI) for the sale of certain intellectual property and materials related to the research and development related to potential ANDA candidates.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original purchase price, the Company is due an additional $2,000,000 with respect to the Product that is Vigabatrin 500mg tablets (tablets) as follows; (A) $250,000 within 30 days following the completion of all bioequivalence studies related to tablets, (B) $250,000 within 45 days of the first date on which annual gross profit from the sale of tablets reaches $1,000,000 in a calendar year, (C) $500,000 within 45 days of the first date on which annual gross profit from the sale of tablets reaches $5,000,000 in a calendar year, (D) $1,000,000 within 45 days of the first date on which annual gross profit from the sale of tablets reaches $10,000,000 in a calendar year. As of quarter ended March 31, 2022 and 2021, and through this date, none of these milestones have occurred. Because collection of these milestone payments is not reasonably assured, we have not recorded any revenues in the accompanying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the Company is due an additional $1,750,000 with respect to the Product that is Vigabatrin 500mg powder for Oral Solution (powder) as follows; (A) $250,000 within 45 days of the first date on which annual gross profit from the sale of powder reaches $1,000,000 in a calendar year, (B) $500,000 within 45 days of the first date on which annual gross profit from the sale of powder reaches $5,000,000 in a calendar year, (C) $1,000,000 within 45 days of the first date on which annual gross profit from the sale of powder reaches $10,000,000 in a calendar year. As of quarter ended March 31, 2022 and 2021, and through this date, none of these milestones have occurred. Because collection of these milestone payments is not reasonably assured, we have not recorded any revenues in the accompanying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leases office space under an operating lease commencing December 1, 2017 through November 30, 2019 and a first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extensions commending December 1, 2019 through May 31, 2020. The second lease extension extends the lease for twenty-four months, beginning on June 1, 2020 and ending on May 31, 2022. The third lease extension extends the lease for twenty-four months, beginning on June 1, 2022 and ending on May 31, 2024. The monthly rent is $3,750. On January 1, 2019, the Company adopted ASC Topic 842, Leases, requiring this lease to be recorded as an asset and corresponding liability on its consolidated balance sheet. The Company records rent expense associated with this lease on the straight-line basis in conjunction with the terms of the underlying lease. During the quarter ended March 31, 2022 and 2021, rental expense totaled $11,250 and $11,250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rental payments required under the lease are as follows:</w:t>
            </w:r>
          </w:p>
        </w:tc>
        <w:tc>
          <w:tcPr>
            <w:tcW w:w="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shd w:val="clear" w:color="auto" w:fill="EEEEEE"/>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33,750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shd w:val="clear" w:color="auto" w:fill="EEEEEE"/>
          </w:tcPr>
          <w:p>
            <w:pPr>
              <w:spacing w:after="0"/>
              <w:rPr>
                <w:sz w:val="18"/>
                <w:szCs w:val="18"/>
                <w:color w:val="auto"/>
              </w:rPr>
            </w:pPr>
          </w:p>
        </w:tc>
        <w:tc>
          <w:tcPr>
            <w:tcW w:w="118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18,750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96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97,500</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96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96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85,195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had recorded a right of use asset of $87,145, and current and non-current lease liabilities of $28,854 and $56,341, respectively.</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 The company is currently not a defendant in any litigation or threatened litigation that could have a material effect on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 (unaudited)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Royalty Obligations - </w:t>
      </w:r>
      <w:r>
        <w:rPr>
          <w:rFonts w:ascii="Times New Roman" w:cs="Times New Roman" w:eastAsia="Times New Roman" w:hAnsi="Times New Roman"/>
          <w:sz w:val="18"/>
          <w:szCs w:val="18"/>
          <w:color w:val="auto"/>
        </w:rPr>
        <w:t>In connection with the product licensing agreement discussed in Note 3, the Company owed a minimum royalty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following the first year of product sales. A minimum royalty amount was also due in subsequent years. This agreement was terminated and settled in 2021. As of March 31, 2022 and 2021, liabilities of $0 and $833,333, respectively, were recorded to reflect the minimum future royalty payments.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Royalty Advances </w:t>
      </w:r>
      <w:r>
        <w:rPr>
          <w:rFonts w:ascii="Times New Roman" w:cs="Times New Roman" w:eastAsia="Times New Roman" w:hAnsi="Times New Roman"/>
          <w:sz w:val="18"/>
          <w:szCs w:val="18"/>
          <w:color w:val="auto"/>
        </w:rPr>
        <w:t>- In the quarter ended March 31, 2022 and 2021, the Company received royalty advances on future product sales of $0 and $0,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from its pharmaceutical marketing partner. These cumulative advances were recorded as deferred revenue of $1,000,000 at March 31, 2021. In August 2021, the Company terminated its agreement with its marketing partner. As part of the termination settlement, the payments made to Coeptis as advance of royalty payments on product sales were deemed forfeited by the marketing partner, and to remain as payments to Coeptis for the licensing rights. As such, advances totaling $1,000,000 were recognized as licensing income in Other Income for the year ended December 31,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8 - 401(k) PROFIT-SHARING PLAN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sponsors a qualified profit-sharing plan with a 401(k) feature that covers all eligible employees. Participation in the 401(k) feature of the plan is voluntary. Participating employees may defer up to 100% of their compensation up to the maximum prescribed by the Internal Revenue Code. The plan permits for employee elective deferrals but has no contribution requirements for the Company. During the quarter ended March 31, 2022 and 2021, no employer contributions were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CONCENTRATIONS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Major Customers – </w:t>
      </w:r>
      <w:r>
        <w:rPr>
          <w:rFonts w:ascii="Times New Roman" w:cs="Times New Roman" w:eastAsia="Times New Roman" w:hAnsi="Times New Roman"/>
          <w:sz w:val="18"/>
          <w:szCs w:val="18"/>
          <w:color w:val="auto"/>
        </w:rPr>
        <w:t>During the quarter ended March 31, 2021, 100%, of revenues were earned from one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respectively, no income tax expense or benefit was recognized. The Company’s deferred tax assets are comprised primarily of net operating loss carryforwards. The Company maintains a full valuation allowance on its deferred tax assets since it has not yet achieved sustained profitable operations. As a result, the Company has not recorded any income tax benefit since its inception.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Potential Asset acquisition - </w:t>
      </w:r>
      <w:r>
        <w:rPr>
          <w:rFonts w:ascii="Times New Roman" w:cs="Times New Roman" w:eastAsia="Times New Roman" w:hAnsi="Times New Roman"/>
          <w:sz w:val="18"/>
          <w:szCs w:val="18"/>
          <w:color w:val="auto"/>
        </w:rPr>
        <w:t>On April 6, 2022, the Company entered into a strategic agreement with Statera Biopharma, Inc. (Nasdaq: STAB) giving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Coeptis the exclusive right to negotiate a definitive agreement related to the acquisition by Coeptis of Statera’s toll-like receptor 5 (TLR5) agonist platform, including entolimod, a clinical-stage product currently being developed as a treatment for acute radiation syndrome. The consummation of the transaction is contingent upon a successful negotiation of a definitive agreement and satisfaction of a number of closing conditions, including a financing contingency. Coeptis and Statera have agreed to an exclusivity period through the date that is 30 days following the date on which the first draft of the definitive agreement is available to review by both parties.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Coeptis and Statera have agreed that the definitive agreement will provide for the payment by Coeptis to Statera of six million USD ($6,000,000) plus revenue-based milestone payments (to be defined in the definitive agreement) in exchange for a defined set of purchased assets that include Statera’s rights to any product containing Entolimod as an active ingredient and all other related TLR5 agonists, related intellectual property, contract rights, inventory and data related to such products.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modification – </w:t>
      </w:r>
      <w:r>
        <w:rPr>
          <w:rFonts w:ascii="Times New Roman" w:cs="Times New Roman" w:eastAsia="Times New Roman" w:hAnsi="Times New Roman"/>
          <w:sz w:val="18"/>
          <w:szCs w:val="18"/>
          <w:color w:val="auto"/>
        </w:rPr>
        <w:t>On April 14, 2022 the company entered into Debt modification agreements with two note holders, extending the maturity of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unsecured long term debt that was in default to July 31, 2022. The extensions were executed in exchange for consideration of warrants exchangeable for 650,000 shares of common stock at a price of $1.50 per share issued to the debt holders on January 28, 2022. See Note 4 for details of long-term debt and Note 5 for details of warrants.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 (unaudited)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 - </w:t>
      </w:r>
      <w:r>
        <w:rPr>
          <w:rFonts w:ascii="Times New Roman" w:cs="Times New Roman" w:eastAsia="Times New Roman" w:hAnsi="Times New Roman"/>
          <w:sz w:val="18"/>
          <w:szCs w:val="18"/>
          <w:color w:val="auto"/>
        </w:rPr>
        <w:t>On April 18, 2022, the Company entered into an Agreement and Plan of Merger (the “Merger Agreement”) with BH Merger Sub, Inc.,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 a Delaware corporation and wholly-owned subsidiary of Bull Horn Holdings Corp., a company incorporated in the British Virgin Islands (together with its successors, including after giving effect to the Domestication as described below, “Bull Horn” or the “Purchaser”).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subject to the terms and conditions set forth therein, (i) prior to the Closing (as defined below), Bull Horn will re-domicile from the British Virgin Islands to the State of Delaware through a statutory re-domestication (the “Domestication”), and (ii) upon the consummation of the transactions contemplated by the Merger Agreement (the “Closing”), Merger Sub will merge with and into Coeptis (the “Merger” and, together with the Domestication and the other transactions contemplated by the Merger Agreement, the “Transactions”), with Coeptis continuing as the surviving corporation in the Merger and a wholly-owned subsidiary of Bull Horn (after the Domestication).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Merger, all outstanding shares of Coeptis preferred stock will convert or exchange their shares of preferred stock for shares of Coeptis common stock at the applicable ratio in Coeptis organizational documents (the “Preferred Stock Exchange”).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Merger, (i) all shares of Coeptis common stock issued and outstanding immediately prior to the effective time of the Merger (other than those properly exercising any applicable dissenters rights under Delaware law), but after giving effect to the Preferred Stock Exchange, will be converted into the right to receive a portion of the Merger Consideration (as defined below), (ii) certain issued and outstanding warrants to acquire shares of Coeptis stock (the “Specified Warrants”) will be assumed by Bull Horn and converted into a warrant for shares of Bull Horn common stock with its price and number of shares equitably adjusted based on the conversion of the shares of Coeptis common stock into the Merger Consideration (each, an “Assumed Warrant”),</w:t>
      </w:r>
    </w:p>
    <w:p>
      <w:pPr>
        <w:spacing w:after="0" w:line="3" w:lineRule="exact"/>
        <w:rPr>
          <w:sz w:val="20"/>
          <w:szCs w:val="20"/>
          <w:color w:val="auto"/>
        </w:rPr>
      </w:pPr>
    </w:p>
    <w:p>
      <w:pPr>
        <w:jc w:val="both"/>
        <w:ind w:firstLine="8"/>
        <w:spacing w:after="0" w:line="255" w:lineRule="auto"/>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outstanding convertible debt of Coeptis (the “Coeptis Convertible Debt”) will be assumed by Bull Horn and be convertible into common stock of Bull Horn (the “Assumed Convertible Debt”) and (iv) any other outstanding securities with the right to convert into or acquire equity securities of Coeptis or its subsidiaries will be terminated. At the Closing, Bull Horn will change its name to “Coeptis Therapeutics Holdings, Inc.”.</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aggregate Merger consideration received by Coeptis security holders from Bull Horn at the Closing will have an aggregate value equal to (the “Merger Consideration”) (i) $175,000,000, minus (or plus if positive), (ii) the amount of Coeptis’ outstanding indebtedness as of immediately prior to the Closing (excluding Permitted Debt, as described below), net of its cash as of immediately prior to the Closing, minus (iii) the amount of Coeptis’ outstanding unpaid transaction expenses and transaction bonuses as of the Closing. The Merger Consideration will be payable, (a) in the case of Coeptis stockholders, solely in new shares of Bull Horn common stock, with each share of Bull Horn common stock valued at the price per share (the “Redemption Price”) at which each Bull Horn share of common stock is redeemed or converted pursuant to the redemption by Bull Horn of its public shareholders in connection with Bull Horn’s initial business combination, as required by its amended and restated memorandum and articles of association and Bull Horn’s initial public offering prospectus (the “Closing Redemption”), and (b) with respect to the holders of the Specified Warrants, by the assumption of such warrants by Bull Horn as Assumed Warrants. The Merger Consideration deliverable to Coeptis stockholders will be allocated pro rata after giving effect to the Preferred Stock Exchange and deducting the value attributable to the Assumed Warrants as if the Specified Warrants that become Assumed Warrants were exercised on a net exercise basis as of immediately prior to the Closing.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Coeptis Convertible Debt, along with (i) certain other outstanding indebtedness of Coeptis as of the date of the Merger Agreement (which together with the Coeptis Convertible Debt, has aggregate outstanding obligations of approximately $3.9 million as of the date of the Merger Agreement), and (ii) certain other indebtedness that Coeptis is permitted to incur between the signing of the Merger Agreement and the Closing, will not affect the Merger Consideration payable to Coeptis security holders (the Coeptis Convertible Debt and such other indebtedness, “Permitted Debt”).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Coeptis Therapeutics, Inc.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Coeptis Therapeutics, Inc. (formerly Vinings Holdings, Inc.) and Subsidiaries (the “Company”) as of December 31, 2021 and 2020 and the related consolidated statements of operations, stockholders’ equity (deficit) and cash flows for each of the years then ended and the related notes (collectively referred to as the “financial statements”). In our opinion, the financial statements present fairly, in all material respects, the financial position for the Company as of December 31, 2021 and 2020, and the results of its operations and its cash flows for each of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since inception and has insufficient working capital to fund future operations both of which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misstatements,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81" w:lineRule="exact"/>
        <w:rPr>
          <w:sz w:val="20"/>
          <w:szCs w:val="20"/>
          <w:color w:val="auto"/>
        </w:rPr>
      </w:pPr>
    </w:p>
    <w:p>
      <w:pPr>
        <w:jc w:val="both"/>
        <w:ind w:left="980" w:hanging="324"/>
        <w:spacing w:after="0" w:line="258"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Co-development agreements </w:t>
      </w:r>
      <w:r>
        <w:rPr>
          <w:rFonts w:ascii="Times New Roman" w:cs="Times New Roman" w:eastAsia="Times New Roman" w:hAnsi="Times New Roman"/>
          <w:sz w:val="18"/>
          <w:szCs w:val="18"/>
          <w:color w:val="auto"/>
        </w:rPr>
        <w:t>– as discussed in Note 3 to the financial statements, during the year, the Company entered into two agreements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jointly develop and commercialize two products, which we identified as a critical audit matter. There was a high degree of auditor judgment to evaluate the significant assumptions used by management in determining the accounting recognition and related disclosures, including the period over which those costs were to be amortized and related impairment considerations. The sensitivity of reasonably possible changes to those assumptions could have had a significant impact on the determination of recorded amounts of such assets.</w:t>
      </w:r>
    </w:p>
    <w:p>
      <w:pPr>
        <w:spacing w:after="0" w:line="18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reviewed the underlying documents, verified the cash payments made pursuant to the agreements, confirmed the note payable balances and other terms with the co-developers, and evaluated the reasonableness of the Company’s amortization period and its impairment assessment.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Turner, Stone &amp; Company,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Tuner, Stone &amp; Company,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2022</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122"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12 Months Ended</w:t>
            </w:r>
          </w:p>
        </w:tc>
      </w:tr>
      <w:tr>
        <w:trPr>
          <w:trHeight w:val="223"/>
        </w:trPr>
        <w:tc>
          <w:tcPr>
            <w:tcW w:w="30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100" w:type="dxa"/>
            <w:vAlign w:val="bottom"/>
          </w:tcPr>
          <w:p>
            <w:pPr>
              <w:spacing w:after="0"/>
              <w:rPr>
                <w:sz w:val="19"/>
                <w:szCs w:val="19"/>
                <w:color w:val="auto"/>
              </w:rPr>
            </w:pPr>
          </w:p>
        </w:tc>
      </w:tr>
      <w:tr>
        <w:trPr>
          <w:trHeight w:val="209"/>
        </w:trPr>
        <w:tc>
          <w:tcPr>
            <w:tcW w:w="30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EEEEEE"/>
          </w:tcPr>
          <w:p>
            <w:pPr>
              <w:spacing w:after="0"/>
              <w:rPr>
                <w:sz w:val="18"/>
                <w:szCs w:val="18"/>
                <w:color w:val="auto"/>
              </w:rPr>
            </w:pPr>
          </w:p>
        </w:tc>
        <w:tc>
          <w:tcPr>
            <w:tcW w:w="4620" w:type="dxa"/>
            <w:vAlign w:val="bottom"/>
            <w:gridSpan w:val="2"/>
            <w:shd w:val="clear" w:color="auto" w:fill="EEEEEE"/>
          </w:tcPr>
          <w:p>
            <w:pPr>
              <w:jc w:val="right"/>
              <w:ind w:righ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6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2,179,558</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202,965</w:t>
            </w:r>
          </w:p>
        </w:tc>
      </w:tr>
      <w:tr>
        <w:trPr>
          <w:trHeight w:val="216"/>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21,786</w:t>
            </w:r>
          </w:p>
        </w:tc>
      </w:tr>
      <w:tr>
        <w:trPr>
          <w:trHeight w:val="229"/>
        </w:trPr>
        <w:tc>
          <w:tcPr>
            <w:tcW w:w="30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45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ASSETS</w:t>
            </w:r>
          </w:p>
        </w:tc>
        <w:tc>
          <w:tcPr>
            <w:tcW w:w="4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2,179,558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224,751</w:t>
            </w:r>
          </w:p>
        </w:tc>
        <w:tc>
          <w:tcPr>
            <w:tcW w:w="100" w:type="dxa"/>
            <w:vAlign w:val="bottom"/>
          </w:tcPr>
          <w:p>
            <w:pPr>
              <w:spacing w:after="0"/>
              <w:rPr>
                <w:sz w:val="18"/>
                <w:szCs w:val="18"/>
                <w:color w:val="auto"/>
              </w:rPr>
            </w:pPr>
          </w:p>
        </w:tc>
      </w:tr>
      <w:tr>
        <w:trPr>
          <w:trHeight w:val="216"/>
        </w:trPr>
        <w:tc>
          <w:tcPr>
            <w:tcW w:w="3040" w:type="dxa"/>
            <w:vAlign w:val="bottom"/>
            <w:shd w:val="clear" w:color="auto" w:fill="EEEEEE"/>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4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25,237</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25,237</w:t>
            </w:r>
          </w:p>
        </w:tc>
      </w:tr>
      <w:tr>
        <w:trPr>
          <w:trHeight w:val="22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(11,311)</w:t>
            </w:r>
          </w:p>
        </w:tc>
        <w:tc>
          <w:tcPr>
            <w:tcW w:w="1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(9,730)</w:t>
            </w:r>
          </w:p>
        </w:tc>
      </w:tr>
      <w:tr>
        <w:trPr>
          <w:trHeight w:val="210"/>
        </w:trPr>
        <w:tc>
          <w:tcPr>
            <w:tcW w:w="304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Furniture and fixtures, net</w:t>
            </w:r>
          </w:p>
        </w:tc>
        <w:tc>
          <w:tcPr>
            <w:tcW w:w="45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100" w:type="dxa"/>
            <w:vAlign w:val="bottom"/>
            <w:tcBorders>
              <w:top w:val="single" w:sz="8" w:color="EEEEEE"/>
            </w:tcBorders>
            <w:shd w:val="clear" w:color="auto" w:fill="EEEEEE"/>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1008"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Co-development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Right of use asset, net of accumulated amortization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4,554,167</w:t>
            </w:r>
          </w:p>
        </w:tc>
        <w:tc>
          <w:tcPr>
            <w:tcW w:w="5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17,925</w:t>
            </w:r>
          </w:p>
        </w:tc>
        <w:tc>
          <w:tcPr>
            <w:tcW w:w="5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58,225</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4,572,091</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6,765,576</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300,484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680"/>
          </w:cols>
          <w:pgMar w:left="320" w:top="1008" w:right="339" w:bottom="1440" w:gutter="0" w:footer="0" w:header="0"/>
          <w:type w:val="continuous"/>
        </w:sect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EEEEEE"/>
          </w:tcPr>
          <w:p>
            <w:pPr>
              <w:ind w:left="13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gridSpan w:val="2"/>
            <w:shd w:val="clear" w:color="auto" w:fill="EEEEE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134,092</w:t>
            </w:r>
          </w:p>
        </w:tc>
        <w:tc>
          <w:tcPr>
            <w:tcW w:w="440" w:type="dxa"/>
            <w:vAlign w:val="bottom"/>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1,623,840</w:t>
            </w:r>
          </w:p>
        </w:tc>
        <w:tc>
          <w:tcPr>
            <w:tcW w:w="80" w:type="dxa"/>
            <w:vAlign w:val="bottom"/>
            <w:shd w:val="clear" w:color="auto" w:fill="EEEEEE"/>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199,126</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732,146</w:t>
            </w:r>
          </w:p>
        </w:tc>
        <w:tc>
          <w:tcPr>
            <w:tcW w:w="80" w:type="dxa"/>
            <w:vAlign w:val="bottom"/>
          </w:tcPr>
          <w:p>
            <w:pPr>
              <w:spacing w:after="0"/>
              <w:rPr>
                <w:sz w:val="18"/>
                <w:szCs w:val="18"/>
                <w:color w:val="auto"/>
              </w:rPr>
            </w:pPr>
          </w:p>
        </w:tc>
      </w:tr>
      <w:tr>
        <w:trPr>
          <w:trHeight w:val="216"/>
        </w:trPr>
        <w:tc>
          <w:tcPr>
            <w:tcW w:w="7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2,417,000</w:t>
            </w:r>
          </w:p>
        </w:tc>
        <w:tc>
          <w:tcPr>
            <w:tcW w:w="4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1,277,500</w:t>
            </w:r>
          </w:p>
        </w:tc>
        <w:tc>
          <w:tcPr>
            <w:tcW w:w="80" w:type="dxa"/>
            <w:vAlign w:val="bottom"/>
            <w:shd w:val="clear" w:color="auto" w:fill="EEEEEE"/>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related parties, current portion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604,000</w:t>
            </w:r>
          </w:p>
        </w:tc>
        <w:tc>
          <w:tcPr>
            <w:tcW w:w="80" w:type="dxa"/>
            <w:vAlign w:val="bottom"/>
          </w:tcPr>
          <w:p>
            <w:pPr>
              <w:spacing w:after="0"/>
              <w:rPr>
                <w:sz w:val="18"/>
                <w:szCs w:val="18"/>
                <w:color w:val="auto"/>
              </w:rPr>
            </w:pPr>
          </w:p>
        </w:tc>
      </w:tr>
      <w:tr>
        <w:trPr>
          <w:trHeight w:val="216"/>
        </w:trPr>
        <w:tc>
          <w:tcPr>
            <w:tcW w:w="7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Right of use liability, current portion</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14,724</w:t>
            </w:r>
          </w:p>
        </w:tc>
        <w:tc>
          <w:tcPr>
            <w:tcW w:w="44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41,618</w:t>
            </w:r>
          </w:p>
        </w:tc>
      </w:tr>
      <w:tr>
        <w:trPr>
          <w:trHeight w:val="230"/>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19"/>
                <w:szCs w:val="19"/>
                <w:color w:val="auto"/>
              </w:rPr>
            </w:pPr>
          </w:p>
        </w:tc>
      </w:tr>
      <w:tr>
        <w:trPr>
          <w:trHeight w:val="210"/>
        </w:trPr>
        <w:tc>
          <w:tcPr>
            <w:tcW w:w="740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2,764,942</w:t>
            </w:r>
          </w:p>
        </w:tc>
        <w:tc>
          <w:tcPr>
            <w:tcW w:w="2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5,279,104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0"/>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LONG TERM LIABILITIES</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1,650,000</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r>
      <w:tr>
        <w:trPr>
          <w:trHeight w:val="230"/>
        </w:trPr>
        <w:tc>
          <w:tcPr>
            <w:tcW w:w="7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Right of use liability, non-current portion</w:t>
            </w:r>
          </w:p>
        </w:tc>
        <w:tc>
          <w:tcPr>
            <w:tcW w:w="1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spacing w:after="0"/>
              <w:rPr>
                <w:sz w:val="19"/>
                <w:szCs w:val="19"/>
                <w:color w:val="auto"/>
              </w:rPr>
            </w:pPr>
          </w:p>
        </w:tc>
        <w:tc>
          <w:tcPr>
            <w:tcW w:w="13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14,723</w:t>
            </w:r>
          </w:p>
        </w:tc>
      </w:tr>
      <w:tr>
        <w:trPr>
          <w:trHeight w:val="210"/>
        </w:trPr>
        <w:tc>
          <w:tcPr>
            <w:tcW w:w="740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6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22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164,723</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23"/>
        </w:trPr>
        <w:tc>
          <w:tcPr>
            <w:tcW w:w="7400" w:type="dxa"/>
            <w:vAlign w:val="bottom"/>
            <w:tcBorders>
              <w:bottom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EEEEEE"/>
            </w:tcBorders>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4,414,942</w:t>
            </w:r>
          </w:p>
        </w:tc>
        <w:tc>
          <w:tcPr>
            <w:tcW w:w="220" w:type="dxa"/>
            <w:vAlign w:val="bottom"/>
            <w:tcBorders>
              <w:bottom w:val="single" w:sz="8" w:color="EEEEEE"/>
            </w:tcBorders>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5,443,827</w:t>
            </w:r>
          </w:p>
        </w:tc>
        <w:tc>
          <w:tcPr>
            <w:tcW w:w="2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198"/>
        </w:trPr>
        <w:tc>
          <w:tcPr>
            <w:tcW w:w="74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10,000,000 shares authorized, 8,000 and -0- shares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0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750,000,000 shares authorized, 37,082,864 issued and</w:t>
            </w:r>
          </w:p>
        </w:tc>
        <w:tc>
          <w:tcPr>
            <w:tcW w:w="1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740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36,754,064 outstanding at December 31, 2021, and 26,768,240 shares issued and outstanding at</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34"/>
        </w:trPr>
        <w:tc>
          <w:tcPr>
            <w:tcW w:w="740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December 31, 2020</w:t>
            </w:r>
          </w:p>
        </w:tc>
        <w:tc>
          <w:tcPr>
            <w:tcW w:w="16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3,550</w:t>
            </w:r>
          </w:p>
        </w:tc>
        <w:tc>
          <w:tcPr>
            <w:tcW w:w="44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EEEEEE"/>
          </w:tcPr>
          <w:p>
            <w:pPr>
              <w:spacing w:after="0"/>
              <w:rPr>
                <w:sz w:val="20"/>
                <w:szCs w:val="20"/>
                <w:color w:val="auto"/>
              </w:rPr>
            </w:pPr>
          </w:p>
        </w:tc>
      </w:tr>
      <w:tr>
        <w:trPr>
          <w:trHeight w:val="216"/>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30,144,374</w:t>
            </w:r>
          </w:p>
        </w:tc>
        <w:tc>
          <w:tcPr>
            <w:tcW w:w="4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8,954,985</w:t>
            </w:r>
          </w:p>
        </w:tc>
        <w:tc>
          <w:tcPr>
            <w:tcW w:w="80" w:type="dxa"/>
            <w:vAlign w:val="bottom"/>
          </w:tcPr>
          <w:p>
            <w:pPr>
              <w:spacing w:after="0"/>
              <w:rPr>
                <w:sz w:val="18"/>
                <w:szCs w:val="18"/>
                <w:color w:val="auto"/>
              </w:rPr>
            </w:pPr>
          </w:p>
        </w:tc>
      </w:tr>
      <w:tr>
        <w:trPr>
          <w:trHeight w:val="216"/>
        </w:trPr>
        <w:tc>
          <w:tcPr>
            <w:tcW w:w="74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Treasury stock, 328,800 shares at cost</w:t>
            </w:r>
          </w:p>
        </w:tc>
        <w:tc>
          <w:tcPr>
            <w:tcW w:w="1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(247,165)</w:t>
            </w:r>
          </w:p>
        </w:tc>
        <w:tc>
          <w:tcPr>
            <w:tcW w:w="44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(27,550,126)</w:t>
            </w:r>
          </w:p>
        </w:tc>
        <w:tc>
          <w:tcPr>
            <w:tcW w:w="44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(14,100,846)</w:t>
            </w:r>
          </w:p>
        </w:tc>
      </w:tr>
      <w:tr>
        <w:trPr>
          <w:trHeight w:val="209"/>
        </w:trPr>
        <w:tc>
          <w:tcPr>
            <w:tcW w:w="740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2,350,634</w:t>
            </w:r>
          </w:p>
        </w:tc>
        <w:tc>
          <w:tcPr>
            <w:tcW w:w="2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(5,143,343</w:t>
            </w:r>
          </w:p>
        </w:tc>
        <w:tc>
          <w:tcPr>
            <w:tcW w:w="10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6,765,576</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83" w:name="page84"/>
    <w:bookmarkEnd w:id="83"/>
    <w:p>
      <w:pPr>
        <w:jc w:val="center"/>
        <w:ind w:left="340" w:right="2400"/>
        <w:spacing w:after="0" w:line="27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 CONSOLIDATED STATEMENTS OF OPERATIONS 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5"/>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12 Months Ended</w:t>
            </w:r>
          </w:p>
        </w:tc>
        <w:tc>
          <w:tcPr>
            <w:tcW w:w="0" w:type="dxa"/>
            <w:vAlign w:val="bottom"/>
          </w:tcPr>
          <w:p>
            <w:pPr>
              <w:spacing w:after="0"/>
              <w:rPr>
                <w:sz w:val="1"/>
                <w:szCs w:val="1"/>
                <w:color w:val="auto"/>
              </w:rPr>
            </w:pPr>
          </w:p>
        </w:tc>
      </w:tr>
      <w:tr>
        <w:trPr>
          <w:trHeight w:val="223"/>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Consulting services</w:t>
            </w:r>
          </w:p>
        </w:tc>
        <w:tc>
          <w:tcPr>
            <w:tcW w:w="1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14,561</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16,200</w:t>
            </w:r>
          </w:p>
        </w:tc>
        <w:tc>
          <w:tcPr>
            <w:tcW w:w="0" w:type="dxa"/>
            <w:vAlign w:val="bottom"/>
          </w:tcPr>
          <w:p>
            <w:pPr>
              <w:spacing w:after="0"/>
              <w:rPr>
                <w:sz w:val="1"/>
                <w:szCs w:val="1"/>
                <w:color w:val="auto"/>
              </w:rPr>
            </w:pPr>
          </w:p>
        </w:tc>
      </w:tr>
      <w:tr>
        <w:trPr>
          <w:trHeight w:val="209"/>
        </w:trPr>
        <w:tc>
          <w:tcPr>
            <w:tcW w:w="594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sales</w:t>
            </w:r>
          </w:p>
        </w:tc>
        <w:tc>
          <w:tcPr>
            <w:tcW w:w="16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30,761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including inventory obsolescence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964,217</w:t>
            </w:r>
          </w:p>
        </w:tc>
        <w:tc>
          <w:tcPr>
            <w:tcW w:w="0" w:type="dxa"/>
            <w:vAlign w:val="bottom"/>
          </w:tcPr>
          <w:p>
            <w:pPr>
              <w:spacing w:after="0"/>
              <w:rPr>
                <w:sz w:val="1"/>
                <w:szCs w:val="1"/>
                <w:color w:val="auto"/>
              </w:rPr>
            </w:pPr>
          </w:p>
        </w:tc>
      </w:tr>
      <w:tr>
        <w:trPr>
          <w:trHeight w:val="210"/>
        </w:trPr>
        <w:tc>
          <w:tcPr>
            <w:tcW w:w="594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(933,456)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14,118,014</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5,769,604</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6,608</w:t>
            </w:r>
          </w:p>
        </w:tc>
        <w:tc>
          <w:tcPr>
            <w:tcW w:w="0" w:type="dxa"/>
            <w:vAlign w:val="bottom"/>
          </w:tcPr>
          <w:p>
            <w:pPr>
              <w:spacing w:after="0"/>
              <w:rPr>
                <w:sz w:val="1"/>
                <w:szCs w:val="1"/>
                <w:color w:val="auto"/>
              </w:rPr>
            </w:pPr>
          </w:p>
        </w:tc>
      </w:tr>
      <w:tr>
        <w:trPr>
          <w:trHeight w:val="229"/>
        </w:trPr>
        <w:tc>
          <w:tcPr>
            <w:tcW w:w="59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187,133</w:t>
            </w:r>
          </w:p>
        </w:tc>
        <w:tc>
          <w:tcPr>
            <w:tcW w:w="10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148,192</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FFFFFF"/>
              </w:rPr>
              <w:t>Total operating expenses</w:t>
            </w:r>
          </w:p>
        </w:tc>
        <w:tc>
          <w:tcPr>
            <w:tcW w:w="16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14,308,066</w:t>
            </w:r>
          </w:p>
        </w:tc>
        <w:tc>
          <w:tcPr>
            <w:tcW w:w="2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5,927,947</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(14,233,066)</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(6,861,403)</w:t>
            </w: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Royalties and licensing fees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(413,124)</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(2,294,883)</w:t>
            </w: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Licensing income</w:t>
            </w: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198,910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Gain (Loss) on Write Down of Assets</w:t>
            </w:r>
          </w:p>
        </w:tc>
        <w:tc>
          <w:tcPr>
            <w:tcW w:w="16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EEEEEE"/>
            </w:tcBorders>
          </w:tcPr>
          <w:p>
            <w:pPr>
              <w:ind w:left="5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783,786</w:t>
            </w:r>
          </w:p>
        </w:tc>
        <w:tc>
          <w:tcPr>
            <w:tcW w:w="2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(2,294,883</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94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(13,449,280)</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(9,156,286)</w:t>
            </w: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 (BENEFIT)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top w:val="single" w:sz="8" w:color="EEEEEE"/>
              <w:bottom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(13,449,280</w:t>
            </w:r>
          </w:p>
        </w:tc>
        <w:tc>
          <w:tcPr>
            <w:tcW w:w="220" w:type="dxa"/>
            <w:vAlign w:val="bottom"/>
            <w:tcBorders>
              <w:top w:val="single" w:sz="8" w:color="EEEEEE"/>
              <w:bottom w:val="single" w:sz="8" w:color="EEEEEE"/>
            </w:tcBorders>
            <w:shd w:val="clear" w:color="auto" w:fill="EEEEEE"/>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(9,156,286</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Loss per share, basic and fully diluted</w:t>
            </w:r>
          </w:p>
        </w:tc>
        <w:tc>
          <w:tcPr>
            <w:tcW w:w="1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32,400,101</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18,089,441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4" w:name="page85"/>
    <w:bookmarkEnd w:id="84"/>
    <w:p>
      <w:pPr>
        <w:jc w:val="center"/>
        <w:ind w:left="340" w:right="2400"/>
        <w:spacing w:after="0" w:line="26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HOLDINGS, INC CONSOLIDATED STATEMENTS OF STOCKHOLDERS' EQUITY (DEFICIT) 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8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92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TREASURY</w:t>
            </w: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ACCUMULATED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920" w:type="dxa"/>
            <w:vAlign w:val="bottom"/>
            <w:gridSpan w:val="4"/>
            <w:vMerge w:val="continue"/>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SUBSCRIBED</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920" w:type="dxa"/>
            <w:vAlign w:val="bottom"/>
            <w:gridSpan w:val="2"/>
            <w:vMerge w:val="restart"/>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EEEEEE"/>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14,607,200</w:t>
            </w:r>
          </w:p>
        </w:tc>
        <w:tc>
          <w:tcPr>
            <w:tcW w:w="96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1,620</w:t>
            </w:r>
          </w:p>
        </w:tc>
        <w:tc>
          <w:tcPr>
            <w:tcW w:w="108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5,762,414</w:t>
            </w:r>
          </w:p>
        </w:tc>
        <w:tc>
          <w:tcPr>
            <w:tcW w:w="1200" w:type="dxa"/>
            <w:vAlign w:val="bottom"/>
            <w:gridSpan w:val="3"/>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100,000</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(4,944,559)</w:t>
            </w:r>
          </w:p>
        </w:tc>
        <w:tc>
          <w:tcPr>
            <w:tcW w:w="9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919,475</w:t>
            </w:r>
          </w:p>
        </w:tc>
        <w:tc>
          <w:tcPr>
            <w:tcW w:w="0" w:type="dxa"/>
            <w:vAlign w:val="bottom"/>
          </w:tcPr>
          <w:p>
            <w:pPr>
              <w:spacing w:after="0"/>
              <w:rPr>
                <w:sz w:val="1"/>
                <w:szCs w:val="1"/>
                <w:color w:val="auto"/>
              </w:rPr>
            </w:pPr>
          </w:p>
        </w:tc>
      </w:tr>
      <w:tr>
        <w:trPr>
          <w:trHeight w:val="171"/>
        </w:trPr>
        <w:tc>
          <w:tcPr>
            <w:tcW w:w="19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31, 2019 (as restated)*</w:t>
            </w:r>
          </w:p>
        </w:tc>
        <w:tc>
          <w:tcPr>
            <w:tcW w:w="920" w:type="dxa"/>
            <w:vAlign w:val="bottom"/>
            <w:gridSpan w:val="2"/>
            <w:vMerge w:val="continue"/>
            <w:shd w:val="clear" w:color="auto" w:fill="EEEEEE"/>
          </w:tcPr>
          <w:p>
            <w:pPr>
              <w:spacing w:after="0"/>
              <w:rPr>
                <w:sz w:val="14"/>
                <w:szCs w:val="14"/>
                <w:color w:val="auto"/>
              </w:rPr>
            </w:pPr>
          </w:p>
        </w:tc>
        <w:tc>
          <w:tcPr>
            <w:tcW w:w="940" w:type="dxa"/>
            <w:vAlign w:val="bottom"/>
            <w:gridSpan w:val="2"/>
            <w:vMerge w:val="continue"/>
            <w:shd w:val="clear" w:color="auto" w:fill="EEEEEE"/>
          </w:tcPr>
          <w:p>
            <w:pPr>
              <w:spacing w:after="0"/>
              <w:rPr>
                <w:sz w:val="14"/>
                <w:szCs w:val="14"/>
                <w:color w:val="auto"/>
              </w:rPr>
            </w:pPr>
          </w:p>
        </w:tc>
        <w:tc>
          <w:tcPr>
            <w:tcW w:w="960" w:type="dxa"/>
            <w:vAlign w:val="bottom"/>
            <w:gridSpan w:val="2"/>
            <w:vMerge w:val="continue"/>
            <w:shd w:val="clear" w:color="auto" w:fill="EEEEEE"/>
          </w:tcPr>
          <w:p>
            <w:pPr>
              <w:spacing w:after="0"/>
              <w:rPr>
                <w:sz w:val="14"/>
                <w:szCs w:val="14"/>
                <w:color w:val="auto"/>
              </w:rPr>
            </w:pPr>
          </w:p>
        </w:tc>
        <w:tc>
          <w:tcPr>
            <w:tcW w:w="960" w:type="dxa"/>
            <w:vAlign w:val="bottom"/>
            <w:gridSpan w:val="2"/>
            <w:vMerge w:val="continue"/>
            <w:shd w:val="clear" w:color="auto" w:fill="EEEEEE"/>
          </w:tcPr>
          <w:p>
            <w:pPr>
              <w:spacing w:after="0"/>
              <w:rPr>
                <w:sz w:val="14"/>
                <w:szCs w:val="14"/>
                <w:color w:val="auto"/>
              </w:rPr>
            </w:pPr>
          </w:p>
        </w:tc>
        <w:tc>
          <w:tcPr>
            <w:tcW w:w="1080" w:type="dxa"/>
            <w:vAlign w:val="bottom"/>
            <w:gridSpan w:val="2"/>
            <w:vMerge w:val="continue"/>
            <w:shd w:val="clear" w:color="auto" w:fill="EEEEEE"/>
          </w:tcPr>
          <w:p>
            <w:pPr>
              <w:spacing w:after="0"/>
              <w:rPr>
                <w:sz w:val="14"/>
                <w:szCs w:val="14"/>
                <w:color w:val="auto"/>
              </w:rPr>
            </w:pPr>
          </w:p>
        </w:tc>
        <w:tc>
          <w:tcPr>
            <w:tcW w:w="1200" w:type="dxa"/>
            <w:vAlign w:val="bottom"/>
            <w:gridSpan w:val="3"/>
            <w:vMerge w:val="continue"/>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340" w:type="dxa"/>
            <w:vAlign w:val="bottom"/>
            <w:gridSpan w:val="2"/>
            <w:vMerge w:val="continue"/>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Retroactive application of</w:t>
            </w:r>
          </w:p>
        </w:tc>
        <w:tc>
          <w:tcPr>
            <w:tcW w:w="920" w:type="dxa"/>
            <w:vAlign w:val="bottom"/>
            <w:gridSpan w:val="2"/>
            <w:vMerge w:val="restart"/>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EEEEEE"/>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1,588,800</w:t>
            </w:r>
          </w:p>
        </w:tc>
        <w:tc>
          <w:tcPr>
            <w:tcW w:w="96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(297,949)</w:t>
            </w:r>
          </w:p>
        </w:tc>
        <w:tc>
          <w:tcPr>
            <w:tcW w:w="8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(297,949)</w:t>
            </w:r>
          </w:p>
        </w:tc>
        <w:tc>
          <w:tcPr>
            <w:tcW w:w="0" w:type="dxa"/>
            <w:vAlign w:val="bottom"/>
          </w:tcPr>
          <w:p>
            <w:pPr>
              <w:spacing w:after="0"/>
              <w:rPr>
                <w:sz w:val="1"/>
                <w:szCs w:val="1"/>
                <w:color w:val="auto"/>
              </w:rPr>
            </w:pPr>
          </w:p>
        </w:tc>
      </w:tr>
      <w:tr>
        <w:trPr>
          <w:trHeight w:val="171"/>
        </w:trPr>
        <w:tc>
          <w:tcPr>
            <w:tcW w:w="19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recapitalization</w:t>
            </w:r>
          </w:p>
        </w:tc>
        <w:tc>
          <w:tcPr>
            <w:tcW w:w="920" w:type="dxa"/>
            <w:vAlign w:val="bottom"/>
            <w:gridSpan w:val="2"/>
            <w:vMerge w:val="continue"/>
            <w:shd w:val="clear" w:color="auto" w:fill="EEEEEE"/>
          </w:tcPr>
          <w:p>
            <w:pPr>
              <w:spacing w:after="0"/>
              <w:rPr>
                <w:sz w:val="14"/>
                <w:szCs w:val="14"/>
                <w:color w:val="auto"/>
              </w:rPr>
            </w:pPr>
          </w:p>
        </w:tc>
        <w:tc>
          <w:tcPr>
            <w:tcW w:w="940" w:type="dxa"/>
            <w:vAlign w:val="bottom"/>
            <w:gridSpan w:val="2"/>
            <w:vMerge w:val="continue"/>
            <w:shd w:val="clear" w:color="auto" w:fill="EEEEEE"/>
          </w:tcPr>
          <w:p>
            <w:pPr>
              <w:spacing w:after="0"/>
              <w:rPr>
                <w:sz w:val="14"/>
                <w:szCs w:val="14"/>
                <w:color w:val="auto"/>
              </w:rPr>
            </w:pPr>
          </w:p>
        </w:tc>
        <w:tc>
          <w:tcPr>
            <w:tcW w:w="960" w:type="dxa"/>
            <w:vAlign w:val="bottom"/>
            <w:gridSpan w:val="2"/>
            <w:vMerge w:val="continue"/>
            <w:shd w:val="clear" w:color="auto" w:fill="EEEEEE"/>
          </w:tcPr>
          <w:p>
            <w:pPr>
              <w:spacing w:after="0"/>
              <w:rPr>
                <w:sz w:val="14"/>
                <w:szCs w:val="14"/>
                <w:color w:val="auto"/>
              </w:rPr>
            </w:pPr>
          </w:p>
        </w:tc>
        <w:tc>
          <w:tcPr>
            <w:tcW w:w="960" w:type="dxa"/>
            <w:vAlign w:val="bottom"/>
            <w:gridSpan w:val="2"/>
            <w:vMerge w:val="continue"/>
            <w:shd w:val="clear" w:color="auto" w:fill="EEEEEE"/>
          </w:tcPr>
          <w:p>
            <w:pPr>
              <w:spacing w:after="0"/>
              <w:rPr>
                <w:sz w:val="14"/>
                <w:szCs w:val="14"/>
                <w:color w:val="auto"/>
              </w:rPr>
            </w:pPr>
          </w:p>
        </w:tc>
        <w:tc>
          <w:tcPr>
            <w:tcW w:w="108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340" w:type="dxa"/>
            <w:vAlign w:val="bottom"/>
            <w:gridSpan w:val="2"/>
            <w:vMerge w:val="continue"/>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4,335,000</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1,167,065</w:t>
            </w:r>
          </w:p>
        </w:tc>
        <w:tc>
          <w:tcPr>
            <w:tcW w:w="1200" w:type="dxa"/>
            <w:vAlign w:val="bottom"/>
            <w:gridSpan w:val="3"/>
            <w:shd w:val="clear" w:color="auto" w:fill="EEEEEE"/>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1,067,499</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4,647,840</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2,323,455</w:t>
            </w:r>
          </w:p>
        </w:tc>
        <w:tc>
          <w:tcPr>
            <w:tcW w:w="8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2,323,920</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EEEEEE"/>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(9,156,287)</w:t>
            </w:r>
          </w:p>
        </w:tc>
        <w:tc>
          <w:tcPr>
            <w:tcW w:w="9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(9,156,287)</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920" w:type="dxa"/>
            <w:vAlign w:val="bottom"/>
            <w:gridSpan w:val="2"/>
            <w:vMerge w:val="restart"/>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EEEEEE"/>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25,178,840</w:t>
            </w:r>
          </w:p>
        </w:tc>
        <w:tc>
          <w:tcPr>
            <w:tcW w:w="96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2,519</w:t>
            </w:r>
          </w:p>
        </w:tc>
        <w:tc>
          <w:tcPr>
            <w:tcW w:w="108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8,954,985</w:t>
            </w:r>
          </w:p>
        </w:tc>
        <w:tc>
          <w:tcPr>
            <w:tcW w:w="8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(14,100,846)</w:t>
            </w:r>
          </w:p>
        </w:tc>
        <w:tc>
          <w:tcPr>
            <w:tcW w:w="92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(5,143,343)</w:t>
            </w:r>
          </w:p>
        </w:tc>
        <w:tc>
          <w:tcPr>
            <w:tcW w:w="0" w:type="dxa"/>
            <w:vAlign w:val="bottom"/>
          </w:tcPr>
          <w:p>
            <w:pPr>
              <w:spacing w:after="0"/>
              <w:rPr>
                <w:sz w:val="1"/>
                <w:szCs w:val="1"/>
                <w:color w:val="auto"/>
              </w:rPr>
            </w:pPr>
          </w:p>
        </w:tc>
      </w:tr>
      <w:tr>
        <w:trPr>
          <w:trHeight w:val="171"/>
        </w:trPr>
        <w:tc>
          <w:tcPr>
            <w:tcW w:w="19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31, 2020</w:t>
            </w:r>
          </w:p>
        </w:tc>
        <w:tc>
          <w:tcPr>
            <w:tcW w:w="920" w:type="dxa"/>
            <w:vAlign w:val="bottom"/>
            <w:gridSpan w:val="2"/>
            <w:vMerge w:val="continue"/>
            <w:shd w:val="clear" w:color="auto" w:fill="EEEEEE"/>
          </w:tcPr>
          <w:p>
            <w:pPr>
              <w:spacing w:after="0"/>
              <w:rPr>
                <w:sz w:val="14"/>
                <w:szCs w:val="14"/>
                <w:color w:val="auto"/>
              </w:rPr>
            </w:pPr>
          </w:p>
        </w:tc>
        <w:tc>
          <w:tcPr>
            <w:tcW w:w="940" w:type="dxa"/>
            <w:vAlign w:val="bottom"/>
            <w:gridSpan w:val="2"/>
            <w:vMerge w:val="continue"/>
            <w:shd w:val="clear" w:color="auto" w:fill="EEEEEE"/>
          </w:tcPr>
          <w:p>
            <w:pPr>
              <w:spacing w:after="0"/>
              <w:rPr>
                <w:sz w:val="14"/>
                <w:szCs w:val="14"/>
                <w:color w:val="auto"/>
              </w:rPr>
            </w:pPr>
          </w:p>
        </w:tc>
        <w:tc>
          <w:tcPr>
            <w:tcW w:w="960" w:type="dxa"/>
            <w:vAlign w:val="bottom"/>
            <w:gridSpan w:val="2"/>
            <w:vMerge w:val="continue"/>
            <w:shd w:val="clear" w:color="auto" w:fill="EEEEEE"/>
          </w:tcPr>
          <w:p>
            <w:pPr>
              <w:spacing w:after="0"/>
              <w:rPr>
                <w:sz w:val="14"/>
                <w:szCs w:val="14"/>
                <w:color w:val="auto"/>
              </w:rPr>
            </w:pPr>
          </w:p>
        </w:tc>
        <w:tc>
          <w:tcPr>
            <w:tcW w:w="960" w:type="dxa"/>
            <w:vAlign w:val="bottom"/>
            <w:gridSpan w:val="2"/>
            <w:vMerge w:val="continue"/>
            <w:shd w:val="clear" w:color="auto" w:fill="EEEEEE"/>
          </w:tcPr>
          <w:p>
            <w:pPr>
              <w:spacing w:after="0"/>
              <w:rPr>
                <w:sz w:val="14"/>
                <w:szCs w:val="14"/>
                <w:color w:val="auto"/>
              </w:rPr>
            </w:pPr>
          </w:p>
        </w:tc>
        <w:tc>
          <w:tcPr>
            <w:tcW w:w="108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340" w:type="dxa"/>
            <w:vAlign w:val="bottom"/>
            <w:gridSpan w:val="2"/>
            <w:vMerge w:val="continue"/>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Recapitalization</w:t>
            </w:r>
          </w:p>
        </w:tc>
        <w:tc>
          <w:tcPr>
            <w:tcW w:w="92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1,589,400</w:t>
            </w:r>
          </w:p>
        </w:tc>
        <w:tc>
          <w:tcPr>
            <w:tcW w:w="7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(50,897)</w:t>
            </w:r>
          </w:p>
        </w:tc>
        <w:tc>
          <w:tcPr>
            <w:tcW w:w="8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(50,897)</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92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(247,165)</w:t>
            </w:r>
          </w:p>
        </w:tc>
        <w:tc>
          <w:tcPr>
            <w:tcW w:w="134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(247,165)</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cash</w:t>
            </w:r>
          </w:p>
        </w:tc>
        <w:tc>
          <w:tcPr>
            <w:tcW w:w="92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7,569,824</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757</w:t>
            </w: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10,135,743</w:t>
            </w:r>
          </w:p>
        </w:tc>
        <w:tc>
          <w:tcPr>
            <w:tcW w:w="8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10,136,500</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services</w:t>
            </w:r>
          </w:p>
        </w:tc>
        <w:tc>
          <w:tcPr>
            <w:tcW w:w="92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2,095,000</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2,757,291</w:t>
            </w:r>
          </w:p>
        </w:tc>
        <w:tc>
          <w:tcPr>
            <w:tcW w:w="8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2,757,501</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Warrants issued for services</w:t>
            </w:r>
          </w:p>
        </w:tc>
        <w:tc>
          <w:tcPr>
            <w:tcW w:w="92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5,497,132</w:t>
            </w:r>
          </w:p>
        </w:tc>
        <w:tc>
          <w:tcPr>
            <w:tcW w:w="8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5,497,132</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issued through</w:t>
            </w:r>
          </w:p>
        </w:tc>
        <w:tc>
          <w:tcPr>
            <w:tcW w:w="920" w:type="dxa"/>
            <w:vAlign w:val="bottom"/>
            <w:gridSpan w:val="2"/>
            <w:vMerge w:val="restart"/>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EEEEEE"/>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694,000</w:t>
            </w:r>
          </w:p>
        </w:tc>
        <w:tc>
          <w:tcPr>
            <w:tcW w:w="96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69</w:t>
            </w:r>
          </w:p>
        </w:tc>
        <w:tc>
          <w:tcPr>
            <w:tcW w:w="1080" w:type="dxa"/>
            <w:vAlign w:val="bottom"/>
            <w:gridSpan w:val="2"/>
            <w:vMerge w:val="restart"/>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1,040,931</w:t>
            </w:r>
          </w:p>
        </w:tc>
        <w:tc>
          <w:tcPr>
            <w:tcW w:w="8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1,041,000</w:t>
            </w:r>
          </w:p>
        </w:tc>
        <w:tc>
          <w:tcPr>
            <w:tcW w:w="0" w:type="dxa"/>
            <w:vAlign w:val="bottom"/>
          </w:tcPr>
          <w:p>
            <w:pPr>
              <w:spacing w:after="0"/>
              <w:rPr>
                <w:sz w:val="1"/>
                <w:szCs w:val="1"/>
                <w:color w:val="auto"/>
              </w:rPr>
            </w:pPr>
          </w:p>
        </w:tc>
      </w:tr>
      <w:tr>
        <w:trPr>
          <w:trHeight w:val="171"/>
        </w:trPr>
        <w:tc>
          <w:tcPr>
            <w:tcW w:w="19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conversion of debt</w:t>
            </w:r>
          </w:p>
        </w:tc>
        <w:tc>
          <w:tcPr>
            <w:tcW w:w="920" w:type="dxa"/>
            <w:vAlign w:val="bottom"/>
            <w:gridSpan w:val="2"/>
            <w:vMerge w:val="continue"/>
            <w:shd w:val="clear" w:color="auto" w:fill="EEEEEE"/>
          </w:tcPr>
          <w:p>
            <w:pPr>
              <w:spacing w:after="0"/>
              <w:rPr>
                <w:sz w:val="14"/>
                <w:szCs w:val="14"/>
                <w:color w:val="auto"/>
              </w:rPr>
            </w:pPr>
          </w:p>
        </w:tc>
        <w:tc>
          <w:tcPr>
            <w:tcW w:w="940" w:type="dxa"/>
            <w:vAlign w:val="bottom"/>
            <w:gridSpan w:val="2"/>
            <w:vMerge w:val="continue"/>
            <w:shd w:val="clear" w:color="auto" w:fill="EEEEEE"/>
          </w:tcPr>
          <w:p>
            <w:pPr>
              <w:spacing w:after="0"/>
              <w:rPr>
                <w:sz w:val="14"/>
                <w:szCs w:val="14"/>
                <w:color w:val="auto"/>
              </w:rPr>
            </w:pPr>
          </w:p>
        </w:tc>
        <w:tc>
          <w:tcPr>
            <w:tcW w:w="960" w:type="dxa"/>
            <w:vAlign w:val="bottom"/>
            <w:gridSpan w:val="2"/>
            <w:vMerge w:val="continue"/>
            <w:shd w:val="clear" w:color="auto" w:fill="EEEEEE"/>
          </w:tcPr>
          <w:p>
            <w:pPr>
              <w:spacing w:after="0"/>
              <w:rPr>
                <w:sz w:val="14"/>
                <w:szCs w:val="14"/>
                <w:color w:val="auto"/>
              </w:rPr>
            </w:pPr>
          </w:p>
        </w:tc>
        <w:tc>
          <w:tcPr>
            <w:tcW w:w="960" w:type="dxa"/>
            <w:vAlign w:val="bottom"/>
            <w:gridSpan w:val="2"/>
            <w:vMerge w:val="continue"/>
            <w:shd w:val="clear" w:color="auto" w:fill="EEEEEE"/>
          </w:tcPr>
          <w:p>
            <w:pPr>
              <w:spacing w:after="0"/>
              <w:rPr>
                <w:sz w:val="14"/>
                <w:szCs w:val="14"/>
                <w:color w:val="auto"/>
              </w:rPr>
            </w:pPr>
          </w:p>
        </w:tc>
        <w:tc>
          <w:tcPr>
            <w:tcW w:w="108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340" w:type="dxa"/>
            <w:vAlign w:val="bottom"/>
            <w:gridSpan w:val="2"/>
            <w:vMerge w:val="continue"/>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92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EEEEEE"/>
          </w:tcPr>
          <w:p>
            <w:pPr>
              <w:ind w:lef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1,897,585</w:t>
            </w:r>
          </w:p>
        </w:tc>
        <w:tc>
          <w:tcPr>
            <w:tcW w:w="8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1,897,585</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Shares surrendered in payment</w:t>
            </w:r>
          </w:p>
        </w:tc>
        <w:tc>
          <w:tcPr>
            <w:tcW w:w="920" w:type="dxa"/>
            <w:vAlign w:val="bottom"/>
            <w:gridSpan w:val="2"/>
            <w:vMerge w:val="restart"/>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EEEEEE"/>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(44,200)</w:t>
            </w:r>
          </w:p>
        </w:tc>
        <w:tc>
          <w:tcPr>
            <w:tcW w:w="960" w:type="dxa"/>
            <w:vAlign w:val="bottom"/>
            <w:gridSpan w:val="2"/>
            <w:vMerge w:val="restart"/>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1080" w:type="dxa"/>
            <w:vAlign w:val="bottom"/>
            <w:gridSpan w:val="2"/>
            <w:vMerge w:val="restart"/>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(88,396)</w:t>
            </w:r>
          </w:p>
        </w:tc>
        <w:tc>
          <w:tcPr>
            <w:tcW w:w="80" w:type="dxa"/>
            <w:vAlign w:val="bottom"/>
            <w:shd w:val="clear" w:color="auto" w:fill="EEEEEE"/>
          </w:tcPr>
          <w:p>
            <w:pPr>
              <w:spacing w:after="0"/>
              <w:rPr>
                <w:sz w:val="10"/>
                <w:szCs w:val="10"/>
                <w:color w:val="auto"/>
              </w:rPr>
            </w:pPr>
          </w:p>
        </w:tc>
        <w:tc>
          <w:tcPr>
            <w:tcW w:w="1120" w:type="dxa"/>
            <w:vAlign w:val="bottom"/>
            <w:gridSpan w:val="2"/>
            <w:vMerge w:val="restart"/>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(88,400)</w:t>
            </w:r>
          </w:p>
        </w:tc>
        <w:tc>
          <w:tcPr>
            <w:tcW w:w="0" w:type="dxa"/>
            <w:vAlign w:val="bottom"/>
          </w:tcPr>
          <w:p>
            <w:pPr>
              <w:spacing w:after="0"/>
              <w:rPr>
                <w:sz w:val="1"/>
                <w:szCs w:val="1"/>
                <w:color w:val="auto"/>
              </w:rPr>
            </w:pPr>
          </w:p>
        </w:tc>
      </w:tr>
      <w:tr>
        <w:trPr>
          <w:trHeight w:val="171"/>
        </w:trPr>
        <w:tc>
          <w:tcPr>
            <w:tcW w:w="19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of debt</w:t>
            </w:r>
          </w:p>
        </w:tc>
        <w:tc>
          <w:tcPr>
            <w:tcW w:w="920" w:type="dxa"/>
            <w:vAlign w:val="bottom"/>
            <w:gridSpan w:val="2"/>
            <w:vMerge w:val="continue"/>
            <w:shd w:val="clear" w:color="auto" w:fill="EEEEEE"/>
          </w:tcPr>
          <w:p>
            <w:pPr>
              <w:spacing w:after="0"/>
              <w:rPr>
                <w:sz w:val="14"/>
                <w:szCs w:val="14"/>
                <w:color w:val="auto"/>
              </w:rPr>
            </w:pPr>
          </w:p>
        </w:tc>
        <w:tc>
          <w:tcPr>
            <w:tcW w:w="940" w:type="dxa"/>
            <w:vAlign w:val="bottom"/>
            <w:gridSpan w:val="2"/>
            <w:vMerge w:val="continue"/>
            <w:shd w:val="clear" w:color="auto" w:fill="EEEEEE"/>
          </w:tcPr>
          <w:p>
            <w:pPr>
              <w:spacing w:after="0"/>
              <w:rPr>
                <w:sz w:val="14"/>
                <w:szCs w:val="14"/>
                <w:color w:val="auto"/>
              </w:rPr>
            </w:pPr>
          </w:p>
        </w:tc>
        <w:tc>
          <w:tcPr>
            <w:tcW w:w="960" w:type="dxa"/>
            <w:vAlign w:val="bottom"/>
            <w:gridSpan w:val="2"/>
            <w:vMerge w:val="continue"/>
            <w:shd w:val="clear" w:color="auto" w:fill="EEEEEE"/>
          </w:tcPr>
          <w:p>
            <w:pPr>
              <w:spacing w:after="0"/>
              <w:rPr>
                <w:sz w:val="14"/>
                <w:szCs w:val="14"/>
                <w:color w:val="auto"/>
              </w:rPr>
            </w:pPr>
          </w:p>
        </w:tc>
        <w:tc>
          <w:tcPr>
            <w:tcW w:w="960" w:type="dxa"/>
            <w:vAlign w:val="bottom"/>
            <w:gridSpan w:val="2"/>
            <w:vMerge w:val="continue"/>
            <w:shd w:val="clear" w:color="auto" w:fill="EEEEEE"/>
          </w:tcPr>
          <w:p>
            <w:pPr>
              <w:spacing w:after="0"/>
              <w:rPr>
                <w:sz w:val="14"/>
                <w:szCs w:val="14"/>
                <w:color w:val="auto"/>
              </w:rPr>
            </w:pPr>
          </w:p>
        </w:tc>
        <w:tc>
          <w:tcPr>
            <w:tcW w:w="1080" w:type="dxa"/>
            <w:vAlign w:val="bottom"/>
            <w:gridSpan w:val="2"/>
            <w:vMerge w:val="continue"/>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1120" w:type="dxa"/>
            <w:vAlign w:val="bottom"/>
            <w:gridSpan w:val="2"/>
            <w:vMerge w:val="continue"/>
            <w:shd w:val="clear" w:color="auto" w:fill="EEEEEE"/>
          </w:tcPr>
          <w:p>
            <w:pPr>
              <w:spacing w:after="0"/>
              <w:rPr>
                <w:sz w:val="14"/>
                <w:szCs w:val="14"/>
                <w:color w:val="auto"/>
              </w:rPr>
            </w:pPr>
          </w:p>
        </w:tc>
        <w:tc>
          <w:tcPr>
            <w:tcW w:w="1000" w:type="dxa"/>
            <w:vAlign w:val="bottom"/>
            <w:gridSpan w:val="2"/>
            <w:vMerge w:val="continue"/>
            <w:shd w:val="clear" w:color="auto" w:fill="EEEEEE"/>
          </w:tcPr>
          <w:p>
            <w:pPr>
              <w:spacing w:after="0"/>
              <w:rPr>
                <w:sz w:val="14"/>
                <w:szCs w:val="14"/>
                <w:color w:val="auto"/>
              </w:rPr>
            </w:pPr>
          </w:p>
        </w:tc>
        <w:tc>
          <w:tcPr>
            <w:tcW w:w="1340" w:type="dxa"/>
            <w:vAlign w:val="bottom"/>
            <w:gridSpan w:val="2"/>
            <w:vMerge w:val="continue"/>
            <w:shd w:val="clear" w:color="auto" w:fill="EEEEEE"/>
          </w:tcPr>
          <w:p>
            <w:pPr>
              <w:spacing w:after="0"/>
              <w:rPr>
                <w:sz w:val="14"/>
                <w:szCs w:val="14"/>
                <w:color w:val="auto"/>
              </w:rPr>
            </w:pPr>
          </w:p>
        </w:tc>
        <w:tc>
          <w:tcPr>
            <w:tcW w:w="920" w:type="dxa"/>
            <w:vAlign w:val="bottom"/>
            <w:gridSpan w:val="2"/>
            <w:vMerge w:val="continue"/>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EEEEEE"/>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4"/>
                <w:szCs w:val="14"/>
                <w:color w:val="auto"/>
              </w:rPr>
              <w:t>(13,449,280)</w:t>
            </w:r>
          </w:p>
        </w:tc>
        <w:tc>
          <w:tcPr>
            <w:tcW w:w="9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(13,449,280)</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920" w:type="dxa"/>
            <w:vAlign w:val="bottom"/>
            <w:shd w:val="clear" w:color="auto" w:fill="EEEEEE"/>
          </w:tcPr>
          <w:p>
            <w:pPr>
              <w:spacing w:after="0" w:line="126" w:lineRule="exact"/>
              <w:rPr>
                <w:sz w:val="20"/>
                <w:szCs w:val="20"/>
                <w:color w:val="auto"/>
              </w:rPr>
            </w:pPr>
            <w:r>
              <w:rPr>
                <w:rFonts w:ascii="Times New Roman" w:cs="Times New Roman" w:eastAsia="Times New Roman" w:hAnsi="Times New Roman"/>
                <w:sz w:val="14"/>
                <w:szCs w:val="14"/>
                <w:color w:val="auto"/>
              </w:rPr>
              <w:t>BALANCE AT DECEMBER</w:t>
            </w:r>
          </w:p>
        </w:tc>
        <w:tc>
          <w:tcPr>
            <w:tcW w:w="7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9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8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31, 2021</w:t>
            </w:r>
          </w:p>
        </w:tc>
        <w:tc>
          <w:tcPr>
            <w:tcW w:w="9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8,000</w:t>
            </w:r>
          </w:p>
        </w:tc>
        <w:tc>
          <w:tcPr>
            <w:tcW w:w="940" w:type="dxa"/>
            <w:vAlign w:val="bottom"/>
            <w:gridSpan w:val="2"/>
            <w:shd w:val="clear" w:color="auto" w:fill="EEEEEE"/>
          </w:tcPr>
          <w:p>
            <w:pPr>
              <w:ind w:left="680"/>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37,082,864</w:t>
            </w:r>
          </w:p>
        </w:tc>
        <w:tc>
          <w:tcPr>
            <w:tcW w:w="9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3,550</w:t>
            </w:r>
          </w:p>
        </w:tc>
        <w:tc>
          <w:tcPr>
            <w:tcW w:w="10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30,144,374</w:t>
            </w:r>
          </w:p>
        </w:tc>
        <w:tc>
          <w:tcPr>
            <w:tcW w:w="80" w:type="dxa"/>
            <w:vAlign w:val="bottom"/>
            <w:shd w:val="clear" w:color="auto" w:fill="EEEEEE"/>
          </w:tcPr>
          <w:p>
            <w:pPr>
              <w:spacing w:after="0"/>
              <w:rPr>
                <w:sz w:val="17"/>
                <w:szCs w:val="17"/>
                <w:color w:val="auto"/>
              </w:rPr>
            </w:pPr>
          </w:p>
        </w:tc>
        <w:tc>
          <w:tcPr>
            <w:tcW w:w="11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180"/>
              <w:spacing w:after="0" w:line="199" w:lineRule="exact"/>
              <w:rPr>
                <w:sz w:val="20"/>
                <w:szCs w:val="20"/>
                <w:color w:val="auto"/>
              </w:rPr>
            </w:pPr>
            <w:r>
              <w:rPr>
                <w:rFonts w:ascii="Times New Roman" w:cs="Times New Roman" w:eastAsia="Times New Roman" w:hAnsi="Times New Roman"/>
                <w:sz w:val="12"/>
                <w:szCs w:val="12"/>
                <w:color w:val="auto"/>
              </w:rPr>
              <w:t>(247,165</w:t>
            </w:r>
            <w:r>
              <w:rPr>
                <w:rFonts w:ascii="Times New Roman" w:cs="Times New Roman" w:eastAsia="Times New Roman" w:hAnsi="Times New Roman"/>
                <w:sz w:val="22"/>
                <w:szCs w:val="22"/>
                <w:color w:val="auto"/>
                <w:vertAlign w:val="superscript"/>
              </w:rPr>
              <w:t>)</w:t>
            </w:r>
          </w:p>
        </w:tc>
        <w:tc>
          <w:tcPr>
            <w:tcW w:w="1340" w:type="dxa"/>
            <w:vAlign w:val="bottom"/>
            <w:gridSpan w:val="2"/>
            <w:shd w:val="clear" w:color="auto" w:fill="EEEEEE"/>
          </w:tcPr>
          <w:p>
            <w:pPr>
              <w:jc w:val="right"/>
              <w:ind w:right="160"/>
              <w:spacing w:after="0" w:line="199" w:lineRule="exact"/>
              <w:rPr>
                <w:sz w:val="20"/>
                <w:szCs w:val="20"/>
                <w:color w:val="auto"/>
              </w:rPr>
            </w:pPr>
            <w:r>
              <w:rPr>
                <w:rFonts w:ascii="Times New Roman" w:cs="Times New Roman" w:eastAsia="Times New Roman" w:hAnsi="Times New Roman"/>
                <w:sz w:val="12"/>
                <w:szCs w:val="12"/>
                <w:color w:val="auto"/>
              </w:rPr>
              <w:t>(27,550,126</w:t>
            </w:r>
            <w:r>
              <w:rPr>
                <w:rFonts w:ascii="Times New Roman" w:cs="Times New Roman" w:eastAsia="Times New Roman" w:hAnsi="Times New Roman"/>
                <w:sz w:val="22"/>
                <w:szCs w:val="22"/>
                <w:color w:val="auto"/>
                <w:vertAlign w:val="superscript"/>
              </w:rPr>
              <w:t>)</w:t>
            </w:r>
          </w:p>
        </w:tc>
        <w:tc>
          <w:tcPr>
            <w:tcW w:w="9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2,350,634</w:t>
            </w:r>
          </w:p>
        </w:tc>
        <w:tc>
          <w:tcPr>
            <w:tcW w:w="0" w:type="dxa"/>
            <w:vAlign w:val="bottom"/>
          </w:tcPr>
          <w:p>
            <w:pPr>
              <w:spacing w:after="0"/>
              <w:rPr>
                <w:sz w:val="1"/>
                <w:szCs w:val="1"/>
                <w:color w:val="auto"/>
              </w:rPr>
            </w:pPr>
          </w:p>
        </w:tc>
      </w:tr>
      <w:tr>
        <w:trPr>
          <w:trHeight w:val="20"/>
        </w:trPr>
        <w:tc>
          <w:tcPr>
            <w:tcW w:w="19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*Restated to reflect the retroactive impacts of the recapitalization on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5" w:name="page86"/>
    <w:bookmarkEnd w:id="8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COEPTIS THERAPEUTICS, INC formerly known as VININGS HOLDING, INC CONSOLIDATED STATEMENTS OF CASH FLOWS 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5"/>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12 Months Ended</w:t>
            </w:r>
          </w:p>
        </w:tc>
      </w:tr>
      <w:tr>
        <w:trPr>
          <w:trHeight w:val="223"/>
        </w:trPr>
        <w:tc>
          <w:tcPr>
            <w:tcW w:w="7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2020</w:t>
            </w:r>
          </w:p>
        </w:tc>
        <w:tc>
          <w:tcPr>
            <w:tcW w:w="100" w:type="dxa"/>
            <w:vAlign w:val="bottom"/>
          </w:tcPr>
          <w:p>
            <w:pPr>
              <w:spacing w:after="0"/>
              <w:rPr>
                <w:sz w:val="19"/>
                <w:szCs w:val="19"/>
                <w:color w:val="auto"/>
              </w:rPr>
            </w:pPr>
          </w:p>
        </w:tc>
      </w:tr>
      <w:tr>
        <w:trPr>
          <w:trHeight w:val="209"/>
        </w:trPr>
        <w:tc>
          <w:tcPr>
            <w:tcW w:w="72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(13,449,280)</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(9,156,286)</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by operating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447,413</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323,428</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loss of licensing right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708,333</w:t>
            </w:r>
          </w:p>
        </w:tc>
      </w:tr>
      <w:tr>
        <w:trPr>
          <w:trHeight w:val="216"/>
        </w:trPr>
        <w:tc>
          <w:tcPr>
            <w:tcW w:w="72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Forgiveness of debt</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(160,095)</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Loss on termination of licensing agreement (in exchange for convertible debt)</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for non-employee services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2,757,501</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2,323,920</w:t>
            </w:r>
          </w:p>
        </w:tc>
      </w:tr>
      <w:tr>
        <w:trPr>
          <w:trHeight w:val="216"/>
        </w:trPr>
        <w:tc>
          <w:tcPr>
            <w:tcW w:w="72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Warrants issued for services</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5,497,132</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1,897,585</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21,786</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(14,907)</w:t>
            </w:r>
          </w:p>
        </w:tc>
      </w:tr>
      <w:tr>
        <w:trPr>
          <w:trHeight w:val="216"/>
        </w:trPr>
        <w:tc>
          <w:tcPr>
            <w:tcW w:w="724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 of use asset/liability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(27,322)</w:t>
            </w:r>
          </w:p>
        </w:tc>
      </w:tr>
      <w:tr>
        <w:trPr>
          <w:trHeight w:val="216"/>
        </w:trPr>
        <w:tc>
          <w:tcPr>
            <w:tcW w:w="724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(1,578,145)</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1,474,566</w:t>
            </w:r>
          </w:p>
        </w:tc>
      </w:tr>
      <w:tr>
        <w:trPr>
          <w:trHeight w:val="216"/>
        </w:trPr>
        <w:tc>
          <w:tcPr>
            <w:tcW w:w="7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(424,020)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732,146</w:t>
            </w:r>
          </w:p>
        </w:tc>
      </w:tr>
      <w:tr>
        <w:trPr>
          <w:trHeight w:val="230"/>
        </w:trPr>
        <w:tc>
          <w:tcPr>
            <w:tcW w:w="724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500,000</w:t>
            </w:r>
          </w:p>
        </w:tc>
      </w:tr>
      <w:tr>
        <w:trPr>
          <w:trHeight w:val="210"/>
        </w:trPr>
        <w:tc>
          <w:tcPr>
            <w:tcW w:w="72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(4,489,440</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(3,136,122</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license right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220" w:type="dxa"/>
            <w:vAlign w:val="bottom"/>
            <w:tcBorders>
              <w:bottom w:val="single" w:sz="8" w:color="EEEEEE"/>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EEEEE"/>
            </w:tcBorders>
          </w:tcPr>
          <w:p>
            <w:pPr>
              <w:spacing w:after="0"/>
              <w:rPr>
                <w:sz w:val="18"/>
                <w:szCs w:val="18"/>
                <w:color w:val="auto"/>
              </w:rPr>
            </w:pPr>
          </w:p>
        </w:tc>
      </w:tr>
      <w:tr>
        <w:trPr>
          <w:trHeight w:val="210"/>
        </w:trPr>
        <w:tc>
          <w:tcPr>
            <w:tcW w:w="7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77,595</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1,227,500</w:t>
            </w:r>
          </w:p>
        </w:tc>
      </w:tr>
      <w:tr>
        <w:trPr>
          <w:trHeight w:val="216"/>
        </w:trPr>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notes payable, related parties</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854,000</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Repayment of notes payable, related parties</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debt as part of merger/rec</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(50,897)</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Repurchase of Treasury shares</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(247,165)</w:t>
            </w:r>
          </w:p>
        </w:tc>
        <w:tc>
          <w:tcPr>
            <w:tcW w:w="10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cash</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10,136,500</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1,067,499</w:t>
            </w:r>
          </w:p>
        </w:tc>
      </w:tr>
      <w:tr>
        <w:trPr>
          <w:trHeight w:val="230"/>
        </w:trPr>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received for stock subscription</w:t>
            </w:r>
          </w:p>
        </w:tc>
        <w:tc>
          <w:tcPr>
            <w:tcW w:w="3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8,216,033</w:t>
            </w:r>
          </w:p>
        </w:tc>
        <w:tc>
          <w:tcPr>
            <w:tcW w:w="220" w:type="dxa"/>
            <w:vAlign w:val="bottom"/>
            <w:tcBorders>
              <w:bottom w:val="single" w:sz="8" w:color="EEEEE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2,898,999</w:t>
            </w:r>
          </w:p>
        </w:tc>
        <w:tc>
          <w:tcPr>
            <w:tcW w:w="100" w:type="dxa"/>
            <w:vAlign w:val="bottom"/>
            <w:tcBorders>
              <w:bottom w:val="single" w:sz="8" w:color="EEEEEE"/>
            </w:tcBorders>
          </w:tcPr>
          <w:p>
            <w:pPr>
              <w:spacing w:after="0"/>
              <w:rPr>
                <w:sz w:val="18"/>
                <w:szCs w:val="18"/>
                <w:color w:val="auto"/>
              </w:rPr>
            </w:pPr>
          </w:p>
        </w:tc>
      </w:tr>
      <w:tr>
        <w:trPr>
          <w:trHeight w:val="209"/>
        </w:trPr>
        <w:tc>
          <w:tcPr>
            <w:tcW w:w="7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1,976,593</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(237,123)</w:t>
            </w:r>
          </w:p>
        </w:tc>
        <w:tc>
          <w:tcPr>
            <w:tcW w:w="100" w:type="dxa"/>
            <w:vAlign w:val="bottom"/>
            <w:shd w:val="clear" w:color="auto" w:fill="EEEEEE"/>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202,965</w:t>
            </w:r>
          </w:p>
        </w:tc>
        <w:tc>
          <w:tcPr>
            <w:tcW w:w="100" w:type="dxa"/>
            <w:vAlign w:val="bottom"/>
          </w:tcPr>
          <w:p>
            <w:pPr>
              <w:spacing w:after="0"/>
              <w:rPr>
                <w:sz w:val="19"/>
                <w:szCs w:val="19"/>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440,088</w:t>
            </w:r>
          </w:p>
        </w:tc>
      </w:tr>
      <w:tr>
        <w:trPr>
          <w:trHeight w:val="223"/>
        </w:trPr>
        <w:tc>
          <w:tcPr>
            <w:tcW w:w="72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2,179,558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202,965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Taxes paid (refunded)</w:t>
            </w:r>
          </w:p>
        </w:tc>
        <w:tc>
          <w:tcPr>
            <w:tcW w:w="4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Coeptis Pharmaceuticals, LLC (LLC) was formed in July 12, 2017 as a Pennsylvania multi-member limited liability company.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 2018, the members of LLC contributed their interest to a newly formed corporation, Coeptis Pharmaceuticals, Inc (“Coeptis”). As of December 1, 2018, the LLC became a disregarded single-member limited liability company which is wholly owned by the newly formed corporation. On February 12, 2021, Vinings Holdings, Inc., a Delaware corporation (“Vinings”), merged (the “Merger”) with and into Coeptis Pharmaceuticals, Inc. On July 12, 2021, the company has legally changed its name from Vinings Holdings, Inc. to Coeptis Therapeutics, Inc. Coeptis was the surviving corporation of that Merger. As a result of the Merger, Vinings acquired the business of Coeptis and will continue the existing business operations of Coeptis as a wholly owned subsidiary. The Merger was treated as a recapitalization of the Company for financial accounting purposes. The historical financial statements of Vinings, before the Merger, except for it’s capital structure as the surviving corporation, were replaced with the historical financial statements of Coeptis before the Merger in all future filings with the Securities and Exchange Commission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located in Wexford, PA, and engages primarily in the acquisition, development, and commercialization of pharmaceutical products.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accompanying audited financial statements have been prepared in accordance with accounting principles generally accepted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States of America (“GAAP”) for financial information and with the instructions to Form 10-K Accordingly, they include all of the information and notes required by generally accepted accounting principles in the United States of America for complete financial statements. In the opinion of the Company’s management, any adjustments contained in the accompanying audited consolidated financial statements are of a normal recurring nature, and are necessary to fairly present the financial position of the Company as of December 31, 2021.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Merger, the financial statements included in this report reflect (1) the historical operating results of Coeptis prior to the Merger; (2) the combined results of the Company and Coeptis following the closing of the Merger; (3) the assets and liabilities of Coeptis at their historical cost; and (4) the Company’s equity structure for all periods presented.</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 </w:t>
      </w:r>
      <w:r>
        <w:rPr>
          <w:rFonts w:ascii="Times New Roman" w:cs="Times New Roman" w:eastAsia="Times New Roman" w:hAnsi="Times New Roman"/>
          <w:sz w:val="18"/>
          <w:szCs w:val="18"/>
          <w:color w:val="auto"/>
        </w:rPr>
        <w:t>The accompanying audited consolidated financial statements include the accounts of Coeptis Therapeutics Inc., Coeptis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 and its wholly-owned subsidiary, Coeptis Pharmaceuticals, LLC. All material intercompany accounts, balances and transactions have been eliminated.</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Risks and Uncertainties </w:t>
      </w:r>
      <w:r>
        <w:rPr>
          <w:rFonts w:ascii="Times New Roman" w:cs="Times New Roman" w:eastAsia="Times New Roman" w:hAnsi="Times New Roman"/>
          <w:sz w:val="18"/>
          <w:szCs w:val="18"/>
          <w:color w:val="auto"/>
        </w:rPr>
        <w:t>– In late 2019, an outbreak of a novel strain of the Coronavirus 2019 Disease (COVID-19) was identified and infections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found in a number of countries around the world, including the United States. COVID-19 and its impact on trade including customer demand, travel, employee productivity, supply chain, and other economic activities has had, and may continue to have, a potentially significant effect on financial markets and business activity. The extent of the impact of COVID-19 on the Company’s operational and financial performance is currently uncertain and cannot be predicted.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For purposes of the statement of cash flows, the Company considers all highly liquid investments purchased with maturities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three months or less to be cash equivalents. At times, balances of cash and cash equivalents at financial banking institutions exceeded the federally insured limit of $250,000. The Company regularly monitors the financial condition of the institutions in which it has depository accounts and believes the risk of loss is minimal.</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Inventory </w:t>
      </w:r>
      <w:r>
        <w:rPr>
          <w:rFonts w:ascii="Times New Roman" w:cs="Times New Roman" w:eastAsia="Times New Roman" w:hAnsi="Times New Roman"/>
          <w:sz w:val="18"/>
          <w:szCs w:val="18"/>
          <w:color w:val="auto"/>
        </w:rPr>
        <w:t>– Inventories consisted primarily of finished goods that are packaged pharmaceutical products, as well as a small amount of raw materials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development of pharmaceutical drug products, and are accounted for using the specific cost method. At December 31, 2021 the company held no inventory. At December 31, 2020, inventory on the books was fully impaired due to uncertainty about salability.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Fixed assets are stated at cost and depreciation is computed using the accelerated and straight-line method for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purposes over estimated useful lives of between five and forty years. Intangibles are being amortized using the straight-line method over estimated useful lives of five years. For the year ended December 31, 2021 and 2020, depreciation expense totaled $2,546 and $1,925 respectively.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 </w:t>
      </w:r>
      <w:r>
        <w:rPr>
          <w:rFonts w:ascii="Times New Roman" w:cs="Times New Roman" w:eastAsia="Times New Roman" w:hAnsi="Times New Roman"/>
          <w:sz w:val="18"/>
          <w:szCs w:val="18"/>
          <w:color w:val="auto"/>
        </w:rPr>
        <w:t>Research and development costs are expensed when incurred. During the year ended December 31, 2021 and 2020,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development expenses totaled $0 and $3,543, respectively.</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Impairment - </w:t>
      </w:r>
      <w:r>
        <w:rPr>
          <w:rFonts w:ascii="Times New Roman" w:cs="Times New Roman" w:eastAsia="Times New Roman" w:hAnsi="Times New Roman"/>
          <w:sz w:val="18"/>
          <w:szCs w:val="18"/>
          <w:color w:val="auto"/>
        </w:rPr>
        <w:t>The Company’s property and equipment are reviewed for possible impairment when events or changes in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amount may not be recoverable. An impairment loss would be recognized if and when the estimated future cash flows expected to result from the use of the asset and its eventual disposition is less than its carrying amount. For the year ended December 31, 2021 and 2020, the Company identified impairment losses related to its license agreement totaling $0 and $708,333, respectively.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Income taxes are provided for the tax effects of transactions reported in the financial statements and consist of taxes currently due 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taxes related primarily to temporary differences between reporting of income and expenses for financial reporting purposes and income tax purposes. The deferred tax assets and liabilities represent the future tax return consequences of those differences, which will either be taxable or deductible when the assets and liabilities are recovered or settled. Deferred taxes also are recognized for operating losses that are available to offset future federal income taxes.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Income Taxes Topic of FASB ASC clarifies the accounting and reporting for uncertainties in income tax law within subtopic FASB ASC 740-10-25-5. The guidance prescribes a comprehensive model for the financial statement recognition, measurement, presentation, and disclosure of uncertain tax positions taken or expected to be taken in income tax returns. Management believes that there is no liability related to uncertain tax positions on year ended December 31, 2021 and 2020.</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generally accepted accounting principles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Adoption of New Accounting Pronouncements </w:t>
      </w:r>
      <w:r>
        <w:rPr>
          <w:rFonts w:ascii="Times New Roman" w:cs="Times New Roman" w:eastAsia="Times New Roman" w:hAnsi="Times New Roman"/>
          <w:sz w:val="18"/>
          <w:szCs w:val="18"/>
          <w:color w:val="auto"/>
        </w:rPr>
        <w:t>– In December 2019, the FASB issued ASU 2019-12, “Income Taxes (Topic 740): Simplifying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for Income Taxes”. ASU 2019-12 simplifies the accounting for income taxes by removing certain exceptions to the general principals in Topic</w:t>
      </w:r>
    </w:p>
    <w:p>
      <w:pPr>
        <w:spacing w:after="0" w:line="1" w:lineRule="exact"/>
        <w:rPr>
          <w:sz w:val="20"/>
          <w:szCs w:val="20"/>
          <w:color w:val="auto"/>
        </w:rPr>
      </w:pPr>
    </w:p>
    <w:p>
      <w:pPr>
        <w:jc w:val="both"/>
        <w:ind w:firstLine="8"/>
        <w:spacing w:after="0" w:line="253" w:lineRule="auto"/>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also improve consistent application of and simplify generally accepted accounting principles (GAAP) for other areas of Topic 740 by clarifying and amending the existing guidance. For public business entities, the guidance is effective for annual periods, and interim periods within those annual periods, beginning after December 15, 2020. Early adoption is permitted, including adoption in any interim period. The adoption of this standard, effective January 1, 2021, did not have a material impact on these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and 2020, there were several other new accounting pronouncements issued by the FASB,. Each of these pronouncements, as applicable, has been or will be adopted by the Company. Management does not believe the adoption of any of these accounting pronouncements has had or will have a material impact on the Company’s financial statements.</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Company derived its revenue in 2020 from licensing and sales of product, and in 2021 primarily from consulting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Revenues are recognized when services are provided to its customers or the product is sold, in an amount that reflects the consideration the Company expects to be entitled to in exchange for those services or goods. Sales and other taxes the Company collects concurrent with revenue-producing activities are excluded from revenue. Incidental items that are immaterial in the context of the contract are recognized as expense. The amount received for consulting services for year ended December 31, 2021 and 2020 was $75,000 and $14,561 respectively. The amount received for licensing was $0 for the year ended December 31, 2021, and $500,000 for the year ended December 31, 2020, of which the entire amount was deferred. See Note 7 for discussion on these royalties advances. The amounts received for product sales for the year ended December 31, 2021 and 2020 were $0 and $16,200.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recognized at a point in time based on the transfer of control. Revenue recognized over time primarily consists of performance obligations that are satisfied within one year or less. In addition, the majority of the Company’s contracts do not contain variable considering and contract modifications are generally minimal. For these reasons, there is not a significant impact as a result of electing these transition practical expedients.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the Company’s revenue arrangement generally consist of a single performance obligation to transfer promised goods or services.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Accounts Receivable – </w:t>
      </w:r>
      <w:r>
        <w:rPr>
          <w:rFonts w:ascii="Times New Roman" w:cs="Times New Roman" w:eastAsia="Times New Roman" w:hAnsi="Times New Roman"/>
          <w:sz w:val="18"/>
          <w:szCs w:val="18"/>
          <w:color w:val="auto"/>
        </w:rPr>
        <w:t>Accounts receivable consists of consulting revenues. The Company records an allowance for doubtful accounts to allow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that may not be recoverable, which is based on an analysis of the Company’s prior collection experience, customer credit worthiness, and current economic trends. Accounts are considered delinquent when payments have not been received within the agreed upon terms and are written off when management determines that collection is not probable.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Earnings Per Share – </w:t>
      </w:r>
      <w:r>
        <w:rPr>
          <w:rFonts w:ascii="Times New Roman" w:cs="Times New Roman" w:eastAsia="Times New Roman" w:hAnsi="Times New Roman"/>
          <w:sz w:val="18"/>
          <w:szCs w:val="18"/>
          <w:color w:val="auto"/>
        </w:rPr>
        <w:t>Basic earnings per share (or loss share), is computed by dividing the earnings (loss) for the period by the weighted average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shares outstanding for the period. Diluted earnings per share reflects potential dilution of securities by including other potentially issuable shares of common stock, including shares issuable upon conversion of convertible securities or exercise of outstanding stock options and warrants, in the weighted average number of common shares outstanding for the period. Therefore, because including shares issuable upon conversion of convertible securities and/or exercise of outstanding options and warrants would have an anti-dilutive effect on the loss per share, only the basic earnings (loss) per share is reported in the accompanying financial statements. The Company does not have other potentially issuable shares of stock.</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Going Concern – </w:t>
      </w:r>
      <w:r>
        <w:rPr>
          <w:rFonts w:ascii="Times New Roman" w:cs="Times New Roman" w:eastAsia="Times New Roman" w:hAnsi="Times New Roman"/>
          <w:sz w:val="18"/>
          <w:szCs w:val="18"/>
          <w:color w:val="auto"/>
        </w:rPr>
        <w:t>The accompanying financial statements have been prepared in conformity with generally accepted accounting principles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American (GAAP), which contemplate continuation of the Company as a going concern, which is dependent upon the Company’s ability to obtain sufficient financials or establish itself as a profitable business. As of the year ended December 31, 2021 and 2020, the Company had accumulated deficit of $27,550,126 and $14,100,846, respectively. These conditions raise substantial doubt about the Company’s ability to continue as a going concern. Management’s plans with respect to operations include the sustained and aggressive developing and marketing of pharmaceutical products both domestically and abroad, and raising additional capital through sales of equity or debt securities as may be necessary to pursue its business plans and sustain operations until such time as the Company can achieve profitability. Management believes that aggressive marketing combined with additional financing as necessary will result in improved operations and cash flow. However, there can be no assurance that management will be successful in obtaining additional funding or in attaining profitable operations.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 </w:t>
      </w:r>
      <w:r>
        <w:rPr>
          <w:rFonts w:ascii="Times New Roman" w:cs="Times New Roman" w:eastAsia="Times New Roman" w:hAnsi="Times New Roman"/>
          <w:sz w:val="18"/>
          <w:szCs w:val="18"/>
          <w:color w:val="auto"/>
        </w:rPr>
        <w:t>The Company calculates the fair value of its assets and liabilities which qualify as financial instruments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this additional information in the notes to the financial statements when the fair value is different than the carrying value of those financial instruments. The methods and assumptions applied in determining the fair value of each class of financial assets and financial liabilities of the Company are disclosed in the respective accounting policies. The estimated fair value of cash, accounts receivable and accounts and note payable approximate their carrying amounts due to the short-term nature of these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LICENSE RIGHT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2019, the Company entered into an agreement with a foreign entity to market, distribute, and sell the Consensi product (Product) on an exclusive basis within the United States and Puerto Rico. Upon execution of the Agreement the Company paid $1,000,000 to the foreign entity. Milestone payments were due as follows; (1) $1,500,000 upon completion of the CMC Plan as reimbursements of costs incurred by the foreign entity, (2) $1,000,000 was due upon first commercial sale of the Product which occurred in June 2020. Milestones were not met during the year ended December 31, 2021 and 2020. As of December 31, 2020, $500,000 of the remaining payment above was still unpaid and reflected in ‘accounts payable’ in the accompanying consolidated balance sheet.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2020, the Company determined that there was a reduction of the useful life, resulting in an impairment charge of $708,333. For the year ended December 31, 2021 and 2020, amortization expense related to the license right totaled $0 and $291,667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of 2021, the Company executed a license termination agreement with the foreign entity to cease all efforts for sales and promotion of the product in the United States and Puerto Rico. The termination included issuance of $1,500,000 of convertible debt due in 2023 to satisfy amounts owed for the license, issue of warrants (See NOTE 5) and transfer of inventory ownership back to the foreign entity. In conjunction with this termination, the Company also terminated its marketing agreement with a third party for the Product’s sales and promotion.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the Company and VyGen-Bio, Inc. (“Vy-Gen”) entered into agreements to jointly develop and commercialize two Vy-Gen product candidates, CD38-GEAR-NK and CD38-Diagnostic (the “CD38 Assets”). The Company paid $1,750,000 and issued promissory notes totaling $3,250,000 to Vy-Gen in accordance with the agreements. The collaboration arrangement provides the right for the Company to participate in the development and commercialization of the CD38 Assets and a 50/50 profit share, with the profit share subject to contingent automatic downward adjustment up to 25% upon an event of default in connection with the promissory notes. The Company capitalized $5,000,000 to be amortized over a five-year period in which the CD38 Assets are expected to contribute to future cash flows. For the year ended December 31, 2021 and 2020, amortization expense related to the agreements totaled $445,833 and $0, respectively. As of December 31, 2021, the balance due under the two promissory notes totaled $1,750,000 which matures on March 31, 2022.</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LONG-TERM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note payable agreement with an unrelated company with a conversion option. The principal amount of $200,000, which is unsecured, together with interest at 9% was due June 15, 2020. In lieu of cash repayment, the outstanding principal amount of the note, plus all accrued unpaid interest may be converted at the option of the party, in whole or in part, into shares of Common Stock. As of the December 31, 2020, the note had a balance of $200,000. The note and accrued interest were paid in full in the first quarter of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$500,000, which is secured by a security agreement, together with interest at 8%, plus additional 2% in the event of default, was due February 8, 2021. The balance of the note is $500,000 as of December 31, 2021 and 2020. This debt is currently in default.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 related party stockholder. The principal amount of $250,000, which is secured by a security agreement, together with interest at 8%, plus additional 2% in the event of default, was due February 8, 2021. This debt was converted to equity in June 2021. The balance of the note was $0 and $250,000 as of December 31, 2021 and 2020,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another Senior Secured Note agreement with a stockholder. The principal amount of $250,000, which is secured by a security agreement, together with interest at 8%, plus additional 2% in the event of default, was due February 8, 2021. This debt was converted to equity in June 2021. The balance of the note is $0 and $250,000 as of as of December 31, 2021 and 2020,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$333,000, which is secured by a security agreement, together with interest at 8%, plus additional 2% in the event of default, was due February 8, 2021. This debt was converted to equity in June 2021. The balance of the note was $0 and $333,000 as of December 31, 2021 and 2020,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2020, the Company entered into a Senior Secured Note agreement with an unrelated party. The principal amount of $167,000, which is secured by a security agreement, together with interest at 8%, plus additional 2% in the event of default, was due February 8, 2021. The balance of the note is $167,000 as of as of December 31, 2021 and 2020. This debt is currently in default.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2020, the Company entered a non-interest bearing, unsecured note agreement with two shareholders for $104,000 with an unspecified due date. The note was converted to equity in June 2021. The balance was $0 and $104,000 as of December 31, 2021, and 2020, respectively. </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2021, as part of a termination of license agreement with Purple BioTech (See Note 7), the Company issued a convertible note in the principal amount of $1,500,000 that is payable on or before February 2023, bearing interest of 5% per annum and convertible in whole or in part at any time by Purple BioTech into shares of Coeptis’ common stock. The conversion price is $5 per share of common stock, subject to certain adjustments under such terms and conditions as agreed between the parties. Coeptis may prepay the principal amount of the Note plus accrued and unpaid interest at any time, prior to the Maturity Date. Inventory, which has been fully written-off on the Company’s balance sheet, will be transferred back to Purple at Purple’s cost.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accrued on the related party notes at December 31, 2021 and 2020 was $0 and $40,000, respectively.</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Loans under the CARES Act </w:t>
      </w:r>
      <w:r>
        <w:rPr>
          <w:rFonts w:ascii="Times New Roman" w:cs="Times New Roman" w:eastAsia="Times New Roman" w:hAnsi="Times New Roman"/>
          <w:sz w:val="18"/>
          <w:szCs w:val="18"/>
          <w:color w:val="auto"/>
        </w:rPr>
        <w:t>-- On May 6, 2020, the Company received loan proceeds in the amount of approximately $77,500 under the Paycheck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Protection Program (“PPP”). The PPP, established as part of the Coronavirus Aid, Relief and Economic Security Act (“CARES Act”),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and maintains its payroll levels. In February 2021, an additional $77,595 was received by the Company under the second round of PPP (“PPP2”). The Company has used the proceeds for purposes consistent with its intended use. Both the PPP and the PPP2 loans were forgiven in full, along with accrued interest, during 2021. The balance of the notes was $0 and $77,500 as of December 31, 2021 and 2020, respectively.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8, 2020, the Company received a loan of $150,000 from the from the United States Small Business Administration (the “SBA”) under its Economic Injury Disaster Loan (“EIDL”) assistance program in light of the impact of the COVID-19 pandemic on the Company’s business. Proceeds are intended to be used for working capital purposes. Interest on the EIDL Loan accrues at the rate of 3.75% per annum and installment payments, including principal and interest, are due monthly beginning twelve months from the date of the EIDL Loan in the amount of $731. The date of the EIDL Loan being July 31, 2020, made the first monthly installment due on July 31, 2021. However, effective, March 26, 2021, the SBA announced a deferment of principal and interest for a 12-month period starting at the next installment due date, making the first monthly installment due on July 31, 2022. The balance of principal and interest is payable thirty years from the date of the promissory note. The balance of the loan is $150,000, as of December 31, 2021 and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long-term debt are as follows for the years ended December 31,</w:t>
            </w: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1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2022</w:t>
            </w: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2023</w:t>
            </w:r>
          </w:p>
        </w:tc>
        <w:tc>
          <w:tcPr>
            <w:tcW w:w="192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EEEEEE"/>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80" w:type="dxa"/>
            <w:vAlign w:val="bottom"/>
            <w:shd w:val="clear" w:color="auto" w:fill="EEEEEE"/>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147,817</w:t>
            </w:r>
          </w:p>
        </w:tc>
        <w:tc>
          <w:tcPr>
            <w:tcW w:w="8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9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5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1,650,000</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CAPITAL STRUCTURE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total number of shares of stock which the corporation shall have authority to issue is 760,000,000 shares, of which 750,000,000 shares of $0.0001 par value shall be designated as Common Stock and 10,000,000 shares of $0.0001 shall be designated as Preferred Stock. The Preferred Stock authorized by these Articles of Incorporation may be issued in one or more series. The Board of Directors of the Corporation is authorized to determine or alter the rights, preferences, privileges, and restrictions granted or imposed upon any wholly unissued series of Preferred Stock, and within the limitations or restrictions stated in any resolution or resolutions of the Board of Directors originally fixing the number of shares constituting any series, to increase or decrease (but not below the number of shares of any such series then outstanding) the number of shares of any such series subsequent to the issue of shares of that series, to determine the designation and par value of any series and to fix the numbers of shares of any series.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Common Stock - </w:t>
      </w:r>
      <w:r>
        <w:rPr>
          <w:rFonts w:ascii="Times New Roman" w:cs="Times New Roman" w:eastAsia="Times New Roman" w:hAnsi="Times New Roman"/>
          <w:sz w:val="18"/>
          <w:szCs w:val="18"/>
          <w:color w:val="auto"/>
        </w:rPr>
        <w:t>As of December 31, 2021 the Company had 37,082,864 shares of its common stock issued and 36,754,064 outstanding, and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2020 the Company had 26,768,240 shares of its common stock issued and outstanding. All references to the common shares outstanding have been retroactively adjusted to reflect the stock splits unless stated otherwise.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2021 and 2020, the Company raised capital by issuance of common stock above the stated par value. The contributed capital recognized as additional paid in capital during the year ended December 31, 2021 and 2020 was $10,135,743 and $1,167,065 respectively. During the year ended December, 31 2021 and 2020, there were $0 in capital distributions.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Treasury Stock – </w:t>
      </w:r>
      <w:r>
        <w:rPr>
          <w:rFonts w:ascii="Times New Roman" w:cs="Times New Roman" w:eastAsia="Times New Roman" w:hAnsi="Times New Roman"/>
          <w:sz w:val="18"/>
          <w:szCs w:val="18"/>
          <w:color w:val="auto"/>
        </w:rPr>
        <w:t>As part of the Merger in February of 2021, the Company repurchased 328,800 shares of its common stock previously held by Vinings’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The stock was recorded at the cost paid for it, of $247,165 and held as Treasury stock for the duration of 2021. Subsequent to year end, the Company retired the 328,800 shares of Treasury Stock, as of February 18, 2022.</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additional 44,200 shares of common stock were repurchased at cost from a former marketing partner in exchange for a cancellation of an outstanding debt. The shares were immediately cancelled. </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Series A Preferred Stock - </w:t>
      </w:r>
      <w:r>
        <w:rPr>
          <w:rFonts w:ascii="Times New Roman" w:cs="Times New Roman" w:eastAsia="Times New Roman" w:hAnsi="Times New Roman"/>
          <w:sz w:val="18"/>
          <w:szCs w:val="18"/>
          <w:color w:val="auto"/>
        </w:rPr>
        <w:t>As of April 30, 2019, the Series A Preferred Stock had been canceled, and no shares remain outstanding. The rights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privileges of future issuances of the Series A Preferred stock will be determined at such time if and when they are issued. As of December 31, 2021, there were 0 shares of Series A Preferred outstanding.</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Series B Convertible Preferred Stock - </w:t>
      </w:r>
      <w:r>
        <w:rPr>
          <w:rFonts w:ascii="Times New Roman" w:cs="Times New Roman" w:eastAsia="Times New Roman" w:hAnsi="Times New Roman"/>
          <w:sz w:val="18"/>
          <w:szCs w:val="18"/>
          <w:color w:val="auto"/>
        </w:rPr>
        <w:t>The Company designated 2,000,000 shares of Series B Convertible Preferred Stock with a par value of $0.0001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Initially, there will be no dividends due or payable on the Series B Preferred Stock. Any future terms with respect to dividends shall be determined by the Board consistent with the Corporation’s Certificate of Incorporation. Any and all such future terms concerning dividends shall be reflected in an amendment to this Certificate, which the Board shall promptly file or cause to be filed.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shares of the Series B Preferred Stock shall rank (i) senior to the Corporation’s Common Stock and any other class or series of capital stock of the Corporation hereafter created, (ii) pari passu with any class or series of capital stock of the Corporation hereafter created and specifically ranking, by its terms, on par with the Series B Preferred Stock and (iii) junior to any class or series of capital stock of the Corporation hereafter created specifically ranking, by its terms, senior to the Series B Preferred Stock, in each case as to distribution of assets upon liquidation, dissolution or winding up of the Corporation, whether voluntary or involuntary.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B Preferred shall have no liquidation preference over any other class of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outstanding shares of Series B Preferred Stock shall be entitled to the number of votes equal to equal to one thousand (1,000) Common Shares. Except as provided by law, or by the provisions establishing any other series of Preferred Stock, holders of Series B Preferred Stock and of any other outstanding series of Preferred Stock shall vote together with the holders of Common Stock as a single class.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shares of Series B Preferred Stock may, at any time and from time to time, convert (an “Optional Conversion”) each of its shares of Series B Preferred Stock into a 1,000 of fully paid and nonassessable shares of Common Stock; provided, however, that any Optional Conversion must involve the issuance of at least 100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 reverse split, the conversion ratio shall not be changed. However, in the event a forward split shall occur then the conversion ratio shall be modified to be increased by the same ratio as the forward split.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the Series B Preferred Stock in accordance with ASC 815 and has determined their conversion options were for equity and ASC 815 did not apply as of December 31, 2021. The Company has evaluated the Series B Preferred Stock in accordance with FASB ASC Subtopic 47020 and has determined that there is no beneficial conversion feature that must be accounted for as of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there were 8,000 shares of Series B Preferred outstanding.</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Common Stock Warrants - </w:t>
      </w:r>
      <w:r>
        <w:rPr>
          <w:rFonts w:ascii="Times New Roman" w:cs="Times New Roman" w:eastAsia="Times New Roman" w:hAnsi="Times New Roman"/>
          <w:sz w:val="18"/>
          <w:szCs w:val="18"/>
          <w:color w:val="auto"/>
        </w:rPr>
        <w:t>On November 23, 2020, the Company issued a class A and a class B warrant to Coral Investment Partners, LP (“CIP”),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warrant granting CIP the right to purchase 500,000 shares of common stock at a price of $2.00 for Class A or $5.00 for Class B. The warrants expire on November 30, 2023. The warrants also contain a cashless exercise provision and contained anti-dilution provisions. The warrants remain outstanding as of December 31, 2021. In October 2021, the Company was notified by the warrant holder that they intend to exercise its right to purchase shares of the Company under these warrants. </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28, 2021, the Company issued a warrant to a third party in exchange for professional services, granting the warrant holder the right to purchase 500,000 shares of common stock at a price of $1.00 per share, 500,000 shares at $2.00 per share, and 500,000 at $5.00 per share. The warrants expire on June 1, 2026. All warrants were outstanding on December 31, 2021. The warrants were valued using the Black-Scholes option pricing model using the following assumptions: 1) exercise prices of $1.00, $2.00 and $5.00 per share, 2) fair value of $5.00 per share, 3) discount rate of 0.79%, 3) dividend rate of 0%, and 4) a term of 5 years.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30th, 2021, the Company issued a warrant to a third party in exchange for professional services, granting the warrant holder the right to purchase 200,000 shares of common stock at a price of $1.00 per share, 100,000 shares at $2.00 per share, and 100,000 at $5.00 per share. The warrants expire on July 26, 2026. All warrants were outstanding on December 31, 2021. The warrants were valued using the Black-Scholes option pricing model using the following assumptions: 1) exercise prices of $1.00, $2.00 and $5.00 per share, 2) fair value of $4.70 per share, 3) discount rate of 0.69%, 3) dividend rate of 0%, and 4) a term of 5 years.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22, 2021, the Company issued a warrant in conjunction with the termination of the license right (see Note 3) with Purple Biotech, granting Purple Biotech the right to purchase 300,000 shares of common stock at $5 per share, subject to certain adjustments. During 2021, the Company recorded $1,897,585 as general and administrative expense in condensed consolidated statement of operations upon immediate vesting of the Warrant. The warrant was valued using the Black-Scholes option pricing model using the following assumptions: 1) exercise price of $5.00 per share, 2) fair value of $6.50 per share, 3) discount rate of 0.48%, 3) dividend rate of 0%, and 4) a term of 3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20, 2021, the Company granted a warrant to a third party in exchange for services to be provided, conditionally giving the warrant holder the right to purchase 600,000 shares of common stock at a price of $1.00 per share upon performance by The Company. The conditions include three vesting milestones related to the successful filing any S-1 or comparable registration statement, registration effectiveness, and the close of capital raise and uplist to a national exchange. The warrants expire on December 20, 2026.</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ASSET PURCHASE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2019, the Company entered into an Asset Purchase Agreement with ANI Pharmaceuticals, Inc. (ANI) for the sale of certain intellectual property and materials related to the research and development related to potential ANDA candidates. The Company recognized revenue of approximately $2,300,000 related to the Asset Purchase Agreement in the year ended December 31, 2019.</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original purchase price, the Company is due an additional $2,000,000 with respect to the Product that is Vigabatrin 500mg tablets (tablets) as follows; (A) $250,000 within 30 days following the completion of all bioequivalence studies related to tablets, (B) $250,000 within 45 days of the first date on which annual gross profit from the sale of tablets reaches $1,000,000 in a calendar year, (C) $500,000 within 45 days of the first date on which annual gross profit from the sale of tablets reaches $5,000,000 in a calendar year, (D) $1,000,000 within 45 days of the first date on which annual gross profit from the sale of tablets reaches $10,000,000 in a calendar year. As of Year Ended December 31, 2021 and 2020, and through this date, none of these milestones have occurred. Because collection of these milestone payments is not reasonably assured, we have not recorded any revenues in the accompanying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Also, the Company is due an additional $1,750,000 with respect to the Product that is Vigabatrin 500mg powder for Oral Solution (powder) as follows; (A) $250,000 within 45 days of the first date on which annual gross profit from the sale of powder reaches $1,000,000 in a calendar year, (B) $500,000 within 45 days of the first date on which annual gross profit from the sale of powder reaches $5,000,000 in a calendar year, (C) $1,000,000 within 45 days of the first date on which annual gross profit from the sale of powder reaches $10,000,000 in a calendar year. As of year Ended December 31, 2021 and 2020, and through this date, none of these milestones have occurred. Because collection of these milestone payments is not reasonably assured, we have not recorded any revenues in the accompanying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leases office space under an operating lease commencing December 1, 2017 through November 30, 2019 and a first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extensions commending December 1, 2019 through May 31, 2020. The second lease extension extends the lease for twenty-four months, beginning on June 1, 2020 and ending on May 31, 2022. The monthly rent is $3,750. On January 1, 2019, the Company adopted ASC Topic 842, Leases, requiring this lease to be recorded as an asset and corresponding liability on its consolidated balance sheet. The Company records rent expense associated with this lease on the straight-line basis in conjunction with the terms of the underlying lease. During the year ended December 31, 2021 and 2020, rental expense totaled $45,000 and $34,125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payments required under the lease are as follows:</w:t>
      </w:r>
    </w:p>
    <w:p>
      <w:pPr>
        <w:spacing w:after="0" w:line="225" w:lineRule="exact"/>
        <w:rPr>
          <w:sz w:val="20"/>
          <w:szCs w:val="20"/>
          <w:color w:val="auto"/>
        </w:rPr>
      </w:pPr>
    </w:p>
    <w:p>
      <w:pPr>
        <w:ind w:left="1140"/>
        <w:spacing w:after="0"/>
        <w:tabs>
          <w:tab w:leader="none" w:pos="8660" w:val="left"/>
          <w:tab w:leader="none" w:pos="952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570039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20, 2022, the Company entered into a third lease extension for twenty-four months beginning on June 1, 2022 and ending on May 31, 2024.</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Legal Matters </w:t>
      </w:r>
      <w:r>
        <w:rPr>
          <w:rFonts w:ascii="Times New Roman" w:cs="Times New Roman" w:eastAsia="Times New Roman" w:hAnsi="Times New Roman"/>
          <w:sz w:val="18"/>
          <w:szCs w:val="18"/>
          <w:color w:val="auto"/>
        </w:rPr>
        <w:t>– The company is currently not a defendant in any litigation or threatened litigation that could have a material effect on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Royalty Obligations - </w:t>
      </w:r>
      <w:r>
        <w:rPr>
          <w:rFonts w:ascii="Times New Roman" w:cs="Times New Roman" w:eastAsia="Times New Roman" w:hAnsi="Times New Roman"/>
          <w:sz w:val="18"/>
          <w:szCs w:val="18"/>
          <w:color w:val="auto"/>
        </w:rPr>
        <w:t>In connection with the product licensing agreement discussed in Note 3, the Company owed a minimum royalty 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following the first year of product sales. A minimum royalty amount was also due in subsequent years. This agreement was terminated and settled in 2021 as discussed in Note 4. As of December 31, 2021 and 2020, liabilities of $0 and $583,333, respectively, were recorded to reflect the minimum future royalty payments.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Royalty Advances </w:t>
      </w:r>
      <w:r>
        <w:rPr>
          <w:rFonts w:ascii="Times New Roman" w:cs="Times New Roman" w:eastAsia="Times New Roman" w:hAnsi="Times New Roman"/>
          <w:sz w:val="18"/>
          <w:szCs w:val="18"/>
          <w:color w:val="auto"/>
        </w:rPr>
        <w:t>- In the year ended December 31, 2021 and 2020, the Company received royalty advances on future product sales of $0 and $500,000,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from its pharmaceutical marketing partner. These cumulative advances were recorded as deferred revenue of $1,000,000 at December 31, 2020. In August 2021, the Company terminated its agreement with its marketing partner. As part of the termination settlement, the payments made to Coeptis as advance of royalty payments on product sales were deemed forfeited by the marketing partner, and to remain as payments to Coeptis for the licensing rights. As such, advances totaling $1,000,000 were recognized as licensing income in Other Income for the year ended December 31, 2021.</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formerly Vinings Holding, Inc.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8 - 401(k) PROFIT-SHARING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sponsors a qualified profit-sharing plan with a 401(k) feature that covers all eligible employees. Participation in the 401(k) feature of the plan is voluntary. Participating employees may defer up to 100% of their compensation up to the maximum prescribed by the Internal Revenue Code. The plan permits for employee elective deferrals but has no contribution requirements for the Company. During the Year Ended December 31, 2021 and 2020, no employer contributions were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CONCENTRATIONS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Major Customers – </w:t>
      </w:r>
      <w:r>
        <w:rPr>
          <w:rFonts w:ascii="Times New Roman" w:cs="Times New Roman" w:eastAsia="Times New Roman" w:hAnsi="Times New Roman"/>
          <w:sz w:val="18"/>
          <w:szCs w:val="18"/>
          <w:color w:val="auto"/>
        </w:rPr>
        <w:t>During the Year Ended December 31, 2021 and 2020, 100%, of revenues were earned from two clients. During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2021 and 2020, accounts receivable related to major clients was $0 and $21,786,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established deferred tax assets and liabilities for the recognition of future deductions or taxable amounts and operating loss carry forward. Deferred tax assets and liabilities for the recognition of future deductions or taxable amounts and operating loss carry forwards. Deferred federal and state income tax expense or benefit is recognized as a result of the change in the deferred tax asset or liability during the year using the currently enacted tax laws and rates that apply to the period in which they are expected to affect taxable income. Valuation allowances are established, if necessary, to reduce deferred tax assets to the amount that will more likely than not be realized.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2021 and 2020, a reconciliation of income tax expense at the statutory rate of 31% to income tax expense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effective tax rate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Borders>
              <w:bottom w:val="single" w:sz="8" w:color="EEEEEE"/>
            </w:tcBorders>
          </w:tcPr>
          <w:p>
            <w:pPr>
              <w:spacing w:after="0"/>
              <w:rPr>
                <w:sz w:val="20"/>
                <w:szCs w:val="20"/>
                <w:color w:val="auto"/>
              </w:rPr>
            </w:pPr>
          </w:p>
        </w:tc>
        <w:tc>
          <w:tcPr>
            <w:tcW w:w="2340" w:type="dxa"/>
            <w:vAlign w:val="bottom"/>
            <w:tcBorders>
              <w:bottom w:val="single" w:sz="8" w:color="EEEEEE"/>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EEEEEE"/>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10"/>
        </w:trPr>
        <w:tc>
          <w:tcPr>
            <w:tcW w:w="5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benefit at statutory rate</w:t>
            </w:r>
          </w:p>
        </w:tc>
        <w:tc>
          <w:tcPr>
            <w:tcW w:w="2340" w:type="dxa"/>
            <w:vAlign w:val="bottom"/>
            <w:shd w:val="clear" w:color="auto" w:fill="EEEEEE"/>
          </w:tcPr>
          <w:p>
            <w:pPr>
              <w:spacing w:after="0"/>
              <w:rPr>
                <w:sz w:val="18"/>
                <w:szCs w:val="18"/>
                <w:color w:val="auto"/>
              </w:rPr>
            </w:pPr>
          </w:p>
        </w:tc>
        <w:tc>
          <w:tcPr>
            <w:tcW w:w="380" w:type="dxa"/>
            <w:vAlign w:val="bottom"/>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7,130,000</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2,852,000</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(7,130,000)</w:t>
            </w:r>
          </w:p>
        </w:tc>
        <w:tc>
          <w:tcPr>
            <w:tcW w:w="38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(2,852,000)</w:t>
            </w:r>
          </w:p>
        </w:tc>
      </w:tr>
      <w:tr>
        <w:trPr>
          <w:trHeight w:val="209"/>
        </w:trPr>
        <w:tc>
          <w:tcPr>
            <w:tcW w:w="5220" w:type="dxa"/>
            <w:vAlign w:val="bottom"/>
            <w:tcBorders>
              <w:top w:val="single" w:sz="8" w:color="EEEEEE"/>
            </w:tcBorders>
            <w:shd w:val="clear" w:color="auto" w:fill="EEEEEE"/>
          </w:tcPr>
          <w:p>
            <w:pPr>
              <w:spacing w:after="0"/>
              <w:rPr>
                <w:sz w:val="18"/>
                <w:szCs w:val="18"/>
                <w:color w:val="auto"/>
              </w:rPr>
            </w:pPr>
          </w:p>
        </w:tc>
        <w:tc>
          <w:tcPr>
            <w:tcW w:w="234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federal/state income taxes</w:t>
            </w:r>
          </w:p>
        </w:tc>
        <w:tc>
          <w:tcPr>
            <w:tcW w:w="27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year ended December 31, 2021, the Company has approximately $23,000,000 of unused net operating loss carry forwards. Unused net operating loss carry forwards may provide future benefits, although there can be no assurance that these net operating losses will be realized in the future. The tax benefits of these loss carry forwards have been fully offset by a valuation allowance. These losses may be used to offset future taxable income and will carry forward indefinitely.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20, 2022, the Company entered into a third lease extension for twenty-four months beginning on June 1, 2022 and ending on May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28, 2022, the Company issued warrants to various shareholders giving them the right to purchase a total of 3,595,100 shares, with strike prices between $1 and $2. The warrants expire January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4, 2022, the Company filed Form S-1: General form for Registration of Securities with the SEC, to register its shares for re-sale on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COEPTIS THERAPEUTICS, INC.</w:t>
      </w:r>
    </w:p>
    <w:p>
      <w:pPr>
        <w:sectPr>
          <w:pgSz w:w="11900" w:h="16838" w:orient="portrait"/>
          <w:cols w:equalWidth="0" w:num="1">
            <w:col w:w="9019"/>
          </w:cols>
          <w:pgMar w:left="1440" w:top="986"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15,809,100 Shares of</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[___],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1528445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36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fees and expenses</w:t>
            </w:r>
          </w:p>
        </w:tc>
        <w:tc>
          <w:tcPr>
            <w:tcW w:w="36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shd w:val="clear" w:color="auto" w:fill="CCEEFF"/>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36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shd w:val="clear" w:color="auto" w:fill="CCEEFF"/>
          </w:tcPr>
          <w:p>
            <w:pPr>
              <w:spacing w:after="0"/>
              <w:rPr>
                <w:sz w:val="18"/>
                <w:szCs w:val="18"/>
                <w:color w:val="auto"/>
              </w:rPr>
            </w:pPr>
          </w:p>
        </w:tc>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3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tcPr>
          <w:p>
            <w:pPr>
              <w:spacing w:after="0"/>
              <w:rPr>
                <w:sz w:val="18"/>
                <w:szCs w:val="18"/>
                <w:color w:val="auto"/>
              </w:rPr>
            </w:pPr>
          </w:p>
        </w:tc>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Miscellaneous expenses</w:t>
            </w:r>
          </w:p>
        </w:tc>
        <w:tc>
          <w:tcPr>
            <w:tcW w:w="36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shd w:val="clear" w:color="auto" w:fill="CCEEFF"/>
          </w:tcPr>
          <w:p>
            <w:pPr>
              <w:spacing w:after="0"/>
              <w:rPr>
                <w:sz w:val="18"/>
                <w:szCs w:val="18"/>
                <w:color w:val="auto"/>
              </w:rPr>
            </w:pPr>
          </w:p>
        </w:tc>
        <w:tc>
          <w:tcPr>
            <w:tcW w:w="64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36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be completed by amendment</w:t>
            </w:r>
          </w:p>
        </w:tc>
        <w:tc>
          <w:tcPr>
            <w:tcW w:w="36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the DGCL, the Registrant’s bylaws provide that:</w:t>
      </w:r>
    </w:p>
    <w:p>
      <w:pPr>
        <w:spacing w:after="0" w:line="225" w:lineRule="exact"/>
        <w:rPr>
          <w:sz w:val="20"/>
          <w:szCs w:val="20"/>
          <w:color w:val="auto"/>
        </w:rPr>
      </w:pPr>
    </w:p>
    <w:p>
      <w:pPr>
        <w:ind w:left="660" w:right="7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executive officers to the fullest extent permitted by the DGCL, subject to limited exceptions;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indemnify its other employees and agents as set forth in the DGCL;</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advance expenses, as incurred, to its directors and executive officers in connection with a legal proceeding to the fullest extent permitted by the DGCL, subject to limited exceptions;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bylaws are not exclusive.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Registrant intends to enter into indemnification agreements with each of its current directors and executive officers to provide these directors and executive officers additional contractual assurances regarding the scope of the indemnification set forth in the Registrant’s bylaws and to provide additional procedural protections. There is no pending litigation or proceeding involving a director or executive officer of the Registrant for which indemnification is sought. The indemnification provisions in the Registrant’s bylaws and any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 forth below is information regarding all securities sold or granted by us since February 12, 2021 that were not registered under the Securities Act of 1933, as amended (the “Securities Act”). Also included is the consideration, if any, received by us for such securities and information relating to the section of the Securities Act, or rule of the SEC, under which exemption from registration was claimed for such sales and grants. Such information is rounded to the nearest whole number. All proceeds were used for general working capital purposes.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2021 Private Placement</w:t>
      </w:r>
      <w:r>
        <w:rPr>
          <w:rFonts w:ascii="Times New Roman" w:cs="Times New Roman" w:eastAsia="Times New Roman" w:hAnsi="Times New Roman"/>
          <w:sz w:val="18"/>
          <w:szCs w:val="18"/>
          <w:color w:val="auto"/>
        </w:rPr>
        <w:t>. On November 17, 2021, we completed a private placement (the “2021 Private Placement”), in which we sold 5,827,324 shares of our common stock in reliance on an exemption from registration under the Securities Act. The gross proceeds from the 2021 Private Placement were approximately $8.7 million, which we used for general corporate purposes.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Current Reg A Offering</w:t>
      </w:r>
      <w:r>
        <w:rPr>
          <w:rFonts w:ascii="Times New Roman" w:cs="Times New Roman" w:eastAsia="Times New Roman" w:hAnsi="Times New Roman"/>
          <w:sz w:val="18"/>
          <w:szCs w:val="18"/>
          <w:color w:val="auto"/>
        </w:rPr>
        <w:t>. On December 6, 2021, we launched an offering of our common stock pursuant to Tier 2 of Regulation A of the United States Securities and Exchange Commission, pursuant to which we are seeking to sell up to 3,000,000 shares of our common stock a price per share of $3.00. Through May 20, 2022, we have sold 565,499 shares of common stock in this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 Issuances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23, 2020, pre-Merger, the Company issued a class A and a class B warrant to Coral Investment Partners, LP, with each warrant granting the right to purchase 500,000 shares of common stock at a price of $2 per share under the Class A warrant and the right to purchase 500,000 shares of common stock at a price of $5 per share under the Class B warrant.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28, 2021, the Company issued a warrant to a third party in exchange for professional services, granting the warrant holder the right to purchase 500,000 shares of common stock at a price of $1 per share, 500,000 shares at $2 per share, and 500,000 at $5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30th, 2021, the Company issued a warrant to a third party in exchange for professional services, granting the warrant holder the right to purchase 200,000 shares of common stock at a price of $1 per share, 100,000 shares at $2 per share, and 100,000 at $5 per share.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22, 2021, the Company issued a warrant in conjunction with the termination of a license right with Purple Biotech, Ltd., granting Purple Biotech the right to purchase 300,000 shares of common stock at $5 per share, subject to certain adjustments.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November 2021 and April 2022, the Company issued warrants in exchange for professional services, granting the warrant holders the right to purchase (subject to vesting in certain cases) in the aggregate up to 5,190,100 shares at an average exercise price of approximately $1.50 per share. The shares issuable under these warrants are being registered for resale under this prospectus.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60" w:type="dxa"/>
            <w:vAlign w:val="bottom"/>
          </w:tcPr>
          <w:p>
            <w:pPr>
              <w:spacing w:after="0"/>
              <w:rPr>
                <w:sz w:val="17"/>
                <w:szCs w:val="17"/>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24"/>
                <w:szCs w:val="24"/>
                <w:color w:val="auto"/>
              </w:rPr>
            </w:pPr>
          </w:p>
        </w:tc>
        <w:tc>
          <w:tcPr>
            <w:tcW w:w="101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Agreement and Plan of Merger and Reorganization, dated as of December 31, 2019, by and among Vinings Holdings, Inc. a Delaware</w:t>
              </w:r>
            </w:hyperlink>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 xml:space="preserve">corporation, Coeptis Acquisition Corp., a Delaware corporation and Coeptis Pharmaceuticals, Inc., a Delaware corporation </w:t>
              </w:r>
              <w:r>
                <w:rPr>
                  <w:rFonts w:ascii="Times New Roman" w:cs="Times New Roman" w:eastAsia="Times New Roman" w:hAnsi="Times New Roman"/>
                  <w:sz w:val="18"/>
                  <w:szCs w:val="18"/>
                  <w:color w:val="000000"/>
                  <w:w w:val="99"/>
                </w:rPr>
                <w:t>(incorporated by</w:t>
              </w:r>
            </w:hyperlink>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rPr>
              <w:t>reference from Exhibit 2.1 to the Company’s Current Report on Form 8-K, as filed with the SEC on January 4, 2021).</w:t>
            </w:r>
          </w:p>
        </w:tc>
        <w:tc>
          <w:tcPr>
            <w:tcW w:w="1240" w:type="dxa"/>
            <w:vAlign w:val="bottom"/>
            <w:gridSpan w:val="2"/>
          </w:tcPr>
          <w:p>
            <w:pPr>
              <w:spacing w:after="0"/>
              <w:rPr>
                <w:sz w:val="18"/>
                <w:szCs w:val="18"/>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2.2</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 xml:space="preserve">Amendment No. 1 and Modification to Agreement and Plan of Merger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from Exhibit 2.2 to the Company’s</w:t>
            </w: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Current Report on Form 8-K, as filed with the SEC on February 12, 2021).</w:t>
            </w: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2.3</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 xml:space="preserve">Certificate of Merger as filed with the Delaware Secretary of State effective February 12, 2021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from Exhibit 2.3</w:t>
            </w: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rPr>
              <w:t>to the Company’s Current Report on Form 8-K, as filed with the SEC on February 12, 2021).</w:t>
            </w:r>
          </w:p>
        </w:tc>
        <w:tc>
          <w:tcPr>
            <w:tcW w:w="3220" w:type="dxa"/>
            <w:vAlign w:val="bottom"/>
            <w:gridSpan w:val="6"/>
          </w:tcPr>
          <w:p>
            <w:pPr>
              <w:spacing w:after="0"/>
              <w:rPr>
                <w:sz w:val="18"/>
                <w:szCs w:val="18"/>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 xml:space="preserve">Agreement and Plan of Merger, dated as of April 18, 2022, by and among Bull Horn, Merger Sub and Coeptis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w:t>
            </w: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rPr>
              <w:t>from Exhibit 2.1 to the Company’s Current Report on Form 8-K, as filed with the SEC on April 19, 2022).</w:t>
            </w:r>
          </w:p>
        </w:tc>
        <w:tc>
          <w:tcPr>
            <w:tcW w:w="2000" w:type="dxa"/>
            <w:vAlign w:val="bottom"/>
            <w:gridSpan w:val="5"/>
          </w:tcPr>
          <w:p>
            <w:pPr>
              <w:spacing w:after="0"/>
              <w:rPr>
                <w:sz w:val="18"/>
                <w:szCs w:val="18"/>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 xml:space="preserve">Certificate of Incorporation of Vinings Holdings,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from Exhibit 3(i).1 to the Company’s Form 10, as filed</w:t>
            </w: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with the SEC on August 12, 2020).</w:t>
            </w:r>
          </w:p>
        </w:tc>
        <w:tc>
          <w:tcPr>
            <w:tcW w:w="6160" w:type="dxa"/>
            <w:vAlign w:val="bottom"/>
            <w:gridSpan w:val="11"/>
          </w:tcPr>
          <w:p>
            <w:pPr>
              <w:spacing w:after="0"/>
              <w:rPr>
                <w:sz w:val="18"/>
                <w:szCs w:val="18"/>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16"/>
                <w:szCs w:val="16"/>
                <w:color w:val="auto"/>
              </w:rPr>
            </w:pPr>
          </w:p>
        </w:tc>
        <w:tc>
          <w:tcPr>
            <w:tcW w:w="1010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Certificate of Incorporation of Coeptis Pharmaceuticals, Inc., as filed with the Secretary of State of the State of Delaware on October 16,</w:t>
              </w:r>
            </w:hyperlink>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 xml:space="preserve">2018 </w:t>
              </w:r>
              <w:r>
                <w:rPr>
                  <w:rFonts w:ascii="Times New Roman" w:cs="Times New Roman" w:eastAsia="Times New Roman" w:hAnsi="Times New Roman"/>
                  <w:sz w:val="18"/>
                  <w:szCs w:val="18"/>
                  <w:color w:val="000000"/>
                </w:rPr>
                <w:t>(incorporated by reference from Exhibit 3.2 to the Company’s Current Report on Form 8-K, as filed with the SEC on February 12,</w:t>
              </w:r>
            </w:hyperlink>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16"/>
                <w:szCs w:val="16"/>
                <w:color w:val="auto"/>
              </w:rPr>
            </w:pPr>
          </w:p>
        </w:tc>
        <w:tc>
          <w:tcPr>
            <w:tcW w:w="1010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Certificate of Amendment to Certificate of Incorporation to effect name change from Vinings Holdings Inc. to Coeptis Therapeutics, Inc.</w:t>
              </w:r>
            </w:hyperlink>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(incorporated by reference from Exhibit 3.1 to the Company’s Current Report on Form 8-K, as filed with the SEC on July 13, 2021).</w:t>
            </w: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3.4</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 xml:space="preserve">Amended and Restated Bylaws of Coeptis Therapeutics,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from Exhibit 3.2 to the Company’s Current Report</w:t>
            </w: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on Form 8-K, as filed with the SEC on July 13, 2021).</w:t>
            </w:r>
          </w:p>
        </w:tc>
        <w:tc>
          <w:tcPr>
            <w:tcW w:w="5680" w:type="dxa"/>
            <w:vAlign w:val="bottom"/>
            <w:gridSpan w:val="10"/>
          </w:tcPr>
          <w:p>
            <w:pPr>
              <w:spacing w:after="0"/>
              <w:rPr>
                <w:sz w:val="18"/>
                <w:szCs w:val="18"/>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3.5</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 xml:space="preserve">Bylaws of Coeptis Pharmaceuticals, Inc.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color w:val="000000"/>
                <w:w w:val="99"/>
              </w:rPr>
              <w:t>by reference from Exhibit 3.5 to Vinings Holdings, Inc.’s Current Report on Form 8-</w:t>
            </w: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K, as filed with the SEC on February 12, 2021).</w:t>
            </w: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 xml:space="preserve">Certificate of Designation, Preferences and Rights of Series A Preferred Stock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from Exhibit 4.1 to Vinings</w:t>
            </w: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Holdings, Inc.’s Form 10, as filed with the SEC on August 12, 2020).</w:t>
            </w:r>
          </w:p>
        </w:tc>
        <w:tc>
          <w:tcPr>
            <w:tcW w:w="4200" w:type="dxa"/>
            <w:vAlign w:val="bottom"/>
            <w:gridSpan w:val="7"/>
          </w:tcPr>
          <w:p>
            <w:pPr>
              <w:spacing w:after="0"/>
              <w:rPr>
                <w:sz w:val="18"/>
                <w:szCs w:val="18"/>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 xml:space="preserve">Certificate of Designation, Preferences and Rights of Series A Preferred Stock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from Exhibit 4.2 to Vinings</w:t>
            </w: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90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Holdings, Inc.’s Form 10, as filed with the SEC on August 12, 2020).</w:t>
            </w:r>
          </w:p>
        </w:tc>
        <w:tc>
          <w:tcPr>
            <w:tcW w:w="4200" w:type="dxa"/>
            <w:vAlign w:val="bottom"/>
            <w:gridSpan w:val="7"/>
          </w:tcPr>
          <w:p>
            <w:pPr>
              <w:spacing w:after="0"/>
              <w:rPr>
                <w:sz w:val="18"/>
                <w:szCs w:val="18"/>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 xml:space="preserve">Form of A Warrant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from Exhibit 4.2 to Vinings Holdings, Inc.’s Current Report on Form 8-K, as filed with the</w:t>
            </w: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SEC on December 7, 2020).</w:t>
            </w: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 xml:space="preserve">Form of B Warrant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from Exhibit 4.3 to Vinings Holdings, Inc.’s Current Report on Form 8-K, as filed with the</w:t>
            </w: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SEC on December 7, 2020).</w:t>
            </w: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spacing w:after="0"/>
              <w:rPr>
                <w:sz w:val="16"/>
                <w:szCs w:val="16"/>
                <w:color w:val="auto"/>
              </w:rPr>
            </w:pPr>
          </w:p>
        </w:tc>
        <w:tc>
          <w:tcPr>
            <w:tcW w:w="1010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Indemnity Agreement, effective February 12, 2021, among Vinings Holdings, Inc., and Sterling Acquisition I, LLC as indemnitor</w:t>
              </w:r>
            </w:hyperlink>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(incorporated by reference from Exhibit 10.1 to Vinings Holdings, Inc.’s Current Report on Form 8-K, as filed with the SEC on February</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2021).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Divestiture Agreement, effective December 23, 2020, among Vinings Holdings, Inc. and Sterling Acquisition I, LLC regarding NDYN</w:t>
              </w:r>
            </w:hyperlink>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700" w:type="dxa"/>
            <w:vAlign w:val="bottom"/>
            <w:gridSpan w:val="7"/>
            <w:shd w:val="clear" w:color="auto" w:fill="0000EE"/>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00" w:type="dxa"/>
            <w:vAlign w:val="bottom"/>
            <w:gridSpan w:val="17"/>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 xml:space="preserve">Delaware, Inc. </w:t>
              </w:r>
              <w:r>
                <w:rPr>
                  <w:rFonts w:ascii="Times New Roman" w:cs="Times New Roman" w:eastAsia="Times New Roman" w:hAnsi="Times New Roman"/>
                  <w:sz w:val="18"/>
                  <w:szCs w:val="18"/>
                  <w:color w:val="000000"/>
                </w:rPr>
                <w:t>(incorporated by reference from Exhibit 10.1 to Vinings Holdings, Inc.’s Current Report on Form 8-K, as filed with the SEC</w:t>
              </w:r>
            </w:hyperlink>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on December 31, 2020).</w:t>
            </w: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 xml:space="preserve">Co-Development Option Purchase Agreement (SNP) between Coeptis Pharmaceuticals, Inc. and Vy-Gen Bio,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60" w:type="dxa"/>
            <w:vAlign w:val="bottom"/>
            <w:gridSpan w:val="9"/>
            <w:shd w:val="clear" w:color="auto" w:fill="0000EE"/>
          </w:tcPr>
          <w:p>
            <w:pPr>
              <w:spacing w:after="0" w:line="20" w:lineRule="exact"/>
              <w:rPr>
                <w:sz w:val="1"/>
                <w:szCs w:val="1"/>
                <w:color w:val="auto"/>
              </w:rPr>
            </w:pPr>
          </w:p>
        </w:tc>
        <w:tc>
          <w:tcPr>
            <w:tcW w:w="30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reference from Exhibit 4.1 to Coeptis Therapeutics Inc.’s Current Report on Form 8-K, as filed with the SEC on May 11, 2021).</w:t>
            </w: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 xml:space="preserve">Co-Development Option Purchase Agreement (GEAR) between Coeptis Pharmaceuticals, Inc. and Vy-Gen Bio,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60" w:type="dxa"/>
            <w:vAlign w:val="bottom"/>
            <w:gridSpan w:val="9"/>
            <w:shd w:val="clear" w:color="auto" w:fill="0000EE"/>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reference from Exhibit 4.2 to Coeptis Therapeutics Inc.’s Current Report on Form 8-K, as filed with the SEC on May 11, 2021).</w:t>
            </w: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16"/>
                <w:szCs w:val="16"/>
                <w:color w:val="auto"/>
              </w:rPr>
            </w:pPr>
          </w:p>
        </w:tc>
        <w:tc>
          <w:tcPr>
            <w:tcW w:w="1010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Amendment No. 1 to Co-Development Option Purchase Agreement (SNP) between Coeptis Pharmaceuticals, Inc. and VyGen-Bio, Inc.</w:t>
              </w:r>
            </w:hyperlink>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(incorporated by reference from Exhibit 4.1 to Coeptis Therapeutics Inc.’s Current Report on Form 8-K, as filed with the SEC on August</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 2021).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560" w:type="dxa"/>
            <w:vAlign w:val="bottom"/>
          </w:tcPr>
          <w:p>
            <w:pPr>
              <w:spacing w:after="0"/>
              <w:rPr>
                <w:sz w:val="16"/>
                <w:szCs w:val="16"/>
                <w:color w:val="auto"/>
              </w:rPr>
            </w:pPr>
          </w:p>
        </w:tc>
        <w:tc>
          <w:tcPr>
            <w:tcW w:w="1010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Amendment No. 1 to Co-Development Option Purchase Agreement (GEAR) between Coeptis Pharmaceuticals, Inc. and VyGen-Bio, Inc.</w:t>
              </w:r>
            </w:hyperlink>
          </w:p>
        </w:tc>
      </w:tr>
      <w:tr>
        <w:trPr>
          <w:trHeight w:val="218"/>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(incorporated by reference from Exhibit 4.2 to Coeptis Therapeutics Inc.’s Current Report on Form 8-K, as filed with the SEC on August</w:t>
            </w:r>
          </w:p>
        </w:tc>
      </w:t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 2021).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spacing w:after="0"/>
              <w:rPr>
                <w:sz w:val="16"/>
                <w:szCs w:val="16"/>
                <w:color w:val="auto"/>
              </w:rPr>
            </w:pPr>
          </w:p>
        </w:tc>
        <w:tc>
          <w:tcPr>
            <w:tcW w:w="10100" w:type="dxa"/>
            <w:vAlign w:val="bottom"/>
            <w:gridSpan w:val="17"/>
          </w:tcPr>
          <w:p>
            <w:pPr>
              <w:spacing w:after="0" w:line="194"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 xml:space="preserve">Co-development and Steering Committee Agreement with VyGen-Bio,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from Exhibit 4.1 to Coeptis</w:t>
            </w: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60" w:type="dxa"/>
            <w:vAlign w:val="bottom"/>
            <w:gridSpan w:val="9"/>
            <w:shd w:val="clear" w:color="auto" w:fill="0000EE"/>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Therapeutics Inc.’s Current Report on Form 8-K, as filed with the SEC on December 27,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00" w:type="dxa"/>
            <w:vAlign w:val="bottom"/>
            <w:gridSpan w:val="6"/>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 xml:space="preserve">Employment Agreement – David Mehalick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from Exhibit 4.1 to the Company’s Current Report on Form 8-K as</w:t>
            </w:r>
          </w:p>
        </w:tc>
      </w:tr>
      <w:tr>
        <w:trPr>
          <w:trHeight w:val="218"/>
        </w:trPr>
        <w:tc>
          <w:tcPr>
            <w:tcW w:w="1140" w:type="dxa"/>
            <w:vAlign w:val="bottom"/>
          </w:tcPr>
          <w:p>
            <w:pPr>
              <w:spacing w:after="0"/>
              <w:rPr>
                <w:sz w:val="18"/>
                <w:szCs w:val="18"/>
                <w:color w:val="auto"/>
              </w:rPr>
            </w:pPr>
          </w:p>
        </w:tc>
        <w:tc>
          <w:tcPr>
            <w:tcW w:w="31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field with the SEC on February 25, 2022)</w:t>
            </w:r>
          </w:p>
        </w:tc>
        <w:tc>
          <w:tcPr>
            <w:tcW w:w="6980" w:type="dxa"/>
            <w:vAlign w:val="bottom"/>
            <w:gridSpan w:val="2"/>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gridSpan w:val="6"/>
          </w:tcPr>
          <w:p>
            <w:pPr>
              <w:spacing w:after="0" w:line="194"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 xml:space="preserve">Employment Agreement – Daniel Yerace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from Exhibit 4.2 to the Company’s Current Report on Form 8-K as</w:t>
            </w:r>
          </w:p>
        </w:tc>
      </w:tr>
      <w:tr>
        <w:trPr>
          <w:trHeight w:val="20"/>
        </w:trPr>
        <w:tc>
          <w:tcPr>
            <w:tcW w:w="11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field with the SEC on February 25, 2022)</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6"/>
          </w:tcPr>
          <w:p>
            <w:pPr>
              <w:spacing w:after="0" w:line="194"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 xml:space="preserve">Subsidiaries of Vinings Holdings,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from Exhibit 21.1 to Vinings Holdings, Inc.’s Current Report on Form 8-</w:t>
            </w:r>
          </w:p>
        </w:tc>
      </w:tr>
      <w:tr>
        <w:trPr>
          <w:trHeight w:val="20"/>
        </w:trPr>
        <w:tc>
          <w:tcPr>
            <w:tcW w:w="11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K, as filed with the SEC on February 12, 2021).</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780" w:type="dxa"/>
            <w:vAlign w:val="bottom"/>
          </w:tcPr>
          <w:p>
            <w:pPr>
              <w:spacing w:after="0"/>
              <w:rPr>
                <w:sz w:val="16"/>
                <w:szCs w:val="16"/>
                <w:color w:val="auto"/>
              </w:rPr>
            </w:pP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EX-101.INS</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16"/>
        </w:trPr>
        <w:tc>
          <w:tcPr>
            <w:tcW w:w="114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EX-101.SCH</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EX-101.CAL</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EX-101.DEF</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EX-101.LAB</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EX-101.PRE</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EX-104</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IXBRL, and included in exhibit 101).</w:t>
            </w: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EX-107</w:t>
            </w:r>
          </w:p>
        </w:tc>
        <w:tc>
          <w:tcPr>
            <w:tcW w:w="136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8"/>
              </w:rPr>
              <w:t>EX-FILING FEES</w:t>
            </w:r>
          </w:p>
        </w:tc>
        <w:tc>
          <w:tcPr>
            <w:tcW w:w="8740" w:type="dxa"/>
            <w:vAlign w:val="bottom"/>
            <w:gridSpan w:val="5"/>
          </w:tcPr>
          <w:p>
            <w:pPr>
              <w:spacing w:after="0"/>
              <w:rPr>
                <w:sz w:val="16"/>
                <w:szCs w:val="16"/>
                <w:color w:val="auto"/>
              </w:rPr>
            </w:pPr>
          </w:p>
        </w:tc>
      </w:tr>
    </w:tbl>
    <w:p>
      <w:pPr>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The undersigned registrant hereby undertakes:</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To file, during any period in which offers or issuances are being made, a post-effective amendment to this registration statement:</w:t>
      </w:r>
    </w:p>
    <w:p>
      <w:pPr>
        <w:spacing w:after="0" w:line="225"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56"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00" w:name="page101"/>
    <w:bookmarkEnd w:id="100"/>
    <w:p>
      <w:pPr>
        <w:jc w:val="both"/>
        <w:ind w:left="372" w:hanging="372"/>
        <w:spacing w:after="0" w:line="266" w:lineRule="auto"/>
        <w:tabs>
          <w:tab w:leader="none" w:pos="3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372" w:right="20" w:hanging="372"/>
        <w:spacing w:after="0" w:line="282" w:lineRule="auto"/>
        <w:tabs>
          <w:tab w:leader="none" w:pos="3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 and</w:t>
      </w:r>
    </w:p>
    <w:p>
      <w:pPr>
        <w:spacing w:after="0" w:line="161" w:lineRule="exact"/>
        <w:rPr>
          <w:rFonts w:ascii="Times New Roman" w:cs="Times New Roman" w:eastAsia="Times New Roman" w:hAnsi="Times New Roman"/>
          <w:sz w:val="18"/>
          <w:szCs w:val="18"/>
          <w:color w:val="auto"/>
        </w:rPr>
      </w:pPr>
    </w:p>
    <w:p>
      <w:pPr>
        <w:jc w:val="both"/>
        <w:ind w:left="372" w:hanging="372"/>
        <w:spacing w:after="0" w:line="255" w:lineRule="auto"/>
        <w:tabs>
          <w:tab w:leader="none" w:pos="3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left="372" w:hanging="372"/>
        <w:spacing w:after="0" w:line="254" w:lineRule="auto"/>
        <w:tabs>
          <w:tab w:leader="none" w:pos="3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Coeptis Therapeutics, Inc. pursuant to the foregoing provisions, or otherwise, Coeptis Therapeutics, Inc. has been advised that in the opinion of the SEC such indemnification is against public policy as expressed in the Securities Act and is, therefore, unenforceable. In the event that a claim for indemnification against such liabilities (other than the payment by Coeptis Therapeutics, Inc. of expenses incurred or paid by a director, officer or controlling person of Coeptis Therapeutics, Inc. in the successful defense of any action, suit or proceeding) is asserted by such director, officer or controlling person in connection with the securities being registered, Coeptis Therapeutics, Inc.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further undertakes that:</w:t>
      </w:r>
    </w:p>
    <w:p>
      <w:pPr>
        <w:spacing w:after="0" w:line="225" w:lineRule="exact"/>
        <w:rPr>
          <w:sz w:val="20"/>
          <w:szCs w:val="20"/>
          <w:color w:val="auto"/>
        </w:rPr>
      </w:pPr>
    </w:p>
    <w:p>
      <w:pPr>
        <w:jc w:val="both"/>
        <w:ind w:left="372" w:hanging="372"/>
        <w:spacing w:after="0" w:line="266" w:lineRule="auto"/>
        <w:tabs>
          <w:tab w:leader="none" w:pos="3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Coeptis Therapeutics, Inc. pursuant to Rule 424(b)(1)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66" w:lineRule="auto"/>
        <w:tabs>
          <w:tab w:leader="none" w:pos="3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jc w:val="both"/>
        <w:ind w:left="372" w:hanging="372"/>
        <w:spacing w:after="0" w:line="261" w:lineRule="auto"/>
        <w:tabs>
          <w:tab w:leader="none" w:pos="3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filing of Coeptis Therapeutics, Inc.’s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Pittsburgh, Pennsylvania, on May 23, 2022.</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229" w:lineRule="exact"/>
        <w:rPr>
          <w:sz w:val="20"/>
          <w:szCs w:val="20"/>
          <w:color w:val="auto"/>
        </w:rPr>
      </w:pPr>
    </w:p>
    <w:p>
      <w:pPr>
        <w:ind w:left="5400"/>
        <w:spacing w:after="0"/>
        <w:tabs>
          <w:tab w:leader="none" w:pos="5840" w:val="left"/>
        </w:tabs>
        <w:rPr>
          <w:sz w:val="20"/>
          <w:szCs w:val="20"/>
          <w:color w:val="auto"/>
        </w:rPr>
      </w:pPr>
      <w:r>
        <w:rPr>
          <w:rFonts w:ascii="Times New Roman" w:cs="Times New Roman" w:eastAsia="Times New Roman" w:hAnsi="Times New Roman"/>
          <w:sz w:val="18"/>
          <w:szCs w:val="18"/>
          <w:color w:val="auto"/>
        </w:rPr>
        <w:t>By:</w:t>
        <w:tab/>
        <w:t>/s/ David Mehalick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David Mehalick</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82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Mehalick</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23, 2022</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David Mehalick</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19"/>
                <w:szCs w:val="19"/>
                <w:color w:val="auto"/>
              </w:rPr>
            </w:pPr>
          </w:p>
        </w:tc>
      </w:tr>
      <w:tr>
        <w:trPr>
          <w:trHeight w:val="414"/>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Sheehy</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23, 2022</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Christine Sheehy</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19"/>
                <w:szCs w:val="19"/>
                <w:color w:val="auto"/>
              </w:rPr>
            </w:pPr>
          </w:p>
        </w:tc>
      </w:tr>
      <w:tr>
        <w:trPr>
          <w:trHeight w:val="414"/>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Yerace</w:t>
            </w:r>
          </w:p>
        </w:tc>
        <w:tc>
          <w:tcPr>
            <w:tcW w:w="5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Vice President of Operations and Director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May 23, 2022</w:t>
            </w:r>
          </w:p>
        </w:tc>
      </w:tr>
      <w:tr>
        <w:trPr>
          <w:trHeight w:val="22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Daniel Yerace</w:t>
            </w:r>
          </w:p>
        </w:tc>
        <w:tc>
          <w:tcPr>
            <w:tcW w:w="2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Coeptis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Wexford, Pennsylvania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use in this Form S-1 Registration Statement of Coeptis Therapeutics, Inc. (formerly Vinings Holdings, Inc.) of our report dated March 10, 2022, related to the consolidated financial statements of Coeptis Therapeutics, Inc. as of December 31, 2020 and December 31, 2020 and for each of the years then ended. Our report on the consolidated financial statements included an explanatory paragraph expressing substantial doubt regarding Coeptis Therapeutics, Inc.’s ability to continue as a going concern.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/s/Turner, Stone &amp; Company,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2022</w:t>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u w:val="single" w:color="auto"/>
          <w:color w:val="auto"/>
        </w:rPr>
        <w:t>_________________________________________________________________________________________</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COEPTIS THERAPEUTICS, INC.</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u w:val="single" w:color="auto"/>
          <w:color w:val="auto"/>
        </w:rPr>
        <w:t>_________________________________________________________________________________________</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820" w:type="dxa"/>
            <w:vAlign w:val="bottom"/>
            <w:tcBorders>
              <w:top w:val="single" w:sz="8" w:color="auto"/>
              <w:left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c>
          <w:tcPr>
            <w:tcW w:w="1140" w:type="dxa"/>
            <w:vAlign w:val="bottom"/>
            <w:tcBorders>
              <w:top w:val="single" w:sz="8" w:color="auto"/>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660" w:type="dxa"/>
            <w:vAlign w:val="bottom"/>
            <w:tcBorders>
              <w:top w:val="single" w:sz="8" w:color="auto"/>
              <w:right w:val="single" w:sz="8" w:color="auto"/>
            </w:tcBorders>
          </w:tcPr>
          <w:p>
            <w:pPr>
              <w:spacing w:after="0"/>
              <w:rPr>
                <w:sz w:val="11"/>
                <w:szCs w:val="11"/>
                <w:color w:val="auto"/>
              </w:rPr>
            </w:pPr>
          </w:p>
        </w:tc>
        <w:tc>
          <w:tcPr>
            <w:tcW w:w="66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9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Carry</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In</w:t>
            </w:r>
          </w:p>
        </w:tc>
        <w:tc>
          <w:tcPr>
            <w:tcW w:w="0" w:type="dxa"/>
            <w:vAlign w:val="bottom"/>
          </w:tcPr>
          <w:p>
            <w:pPr>
              <w:spacing w:after="0"/>
              <w:rPr>
                <w:sz w:val="1"/>
                <w:szCs w:val="1"/>
                <w:color w:val="auto"/>
              </w:rPr>
            </w:pPr>
          </w:p>
        </w:tc>
      </w:tr>
      <w:tr>
        <w:trPr>
          <w:trHeight w:val="68"/>
        </w:trPr>
        <w:tc>
          <w:tcPr>
            <w:tcW w:w="820" w:type="dxa"/>
            <w:vAlign w:val="bottom"/>
            <w:tcBorders>
              <w:left w:val="single" w:sz="8" w:color="auto"/>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9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140" w:type="dxa"/>
            <w:vAlign w:val="bottom"/>
            <w:tcBorders>
              <w:right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66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8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81"/>
        </w:trPr>
        <w:tc>
          <w:tcPr>
            <w:tcW w:w="820" w:type="dxa"/>
            <w:vAlign w:val="bottom"/>
            <w:tcBorders>
              <w:left w:val="single" w:sz="8" w:color="auto"/>
              <w:right w:val="single" w:sz="8" w:color="auto"/>
            </w:tcBorders>
          </w:tcPr>
          <w:p>
            <w:pPr>
              <w:spacing w:after="0"/>
              <w:rPr>
                <w:sz w:val="7"/>
                <w:szCs w:val="7"/>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60" w:type="dxa"/>
            <w:vAlign w:val="bottom"/>
          </w:tcPr>
          <w:p>
            <w:pPr>
              <w:spacing w:after="0"/>
              <w:rPr>
                <w:sz w:val="7"/>
                <w:szCs w:val="7"/>
                <w:color w:val="auto"/>
              </w:rPr>
            </w:pPr>
          </w:p>
        </w:tc>
        <w:tc>
          <w:tcPr>
            <w:tcW w:w="940" w:type="dxa"/>
            <w:vAlign w:val="bottom"/>
            <w:tcBorders>
              <w:right w:val="single" w:sz="8" w:color="auto"/>
            </w:tcBorders>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90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78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82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w:t>
            </w:r>
          </w:p>
        </w:tc>
        <w:tc>
          <w:tcPr>
            <w:tcW w:w="90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94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14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66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7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with Unsold</w:t>
            </w:r>
          </w:p>
        </w:tc>
        <w:tc>
          <w:tcPr>
            <w:tcW w:w="0" w:type="dxa"/>
            <w:vAlign w:val="bottom"/>
          </w:tcPr>
          <w:p>
            <w:pPr>
              <w:spacing w:after="0"/>
              <w:rPr>
                <w:sz w:val="1"/>
                <w:szCs w:val="1"/>
                <w:color w:val="auto"/>
              </w:rPr>
            </w:pPr>
          </w:p>
        </w:tc>
      </w:tr>
      <w:tr>
        <w:trPr>
          <w:trHeight w:val="94"/>
        </w:trPr>
        <w:tc>
          <w:tcPr>
            <w:tcW w:w="820" w:type="dxa"/>
            <w:vAlign w:val="bottom"/>
            <w:tcBorders>
              <w:left w:val="single" w:sz="8" w:color="auto"/>
              <w:right w:val="single" w:sz="8" w:color="auto"/>
            </w:tcBorders>
          </w:tcPr>
          <w:p>
            <w:pPr>
              <w:spacing w:after="0"/>
              <w:rPr>
                <w:sz w:val="8"/>
                <w:szCs w:val="8"/>
                <w:color w:val="auto"/>
              </w:rPr>
            </w:pPr>
          </w:p>
        </w:tc>
        <w:tc>
          <w:tcPr>
            <w:tcW w:w="80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Type</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Title</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Forward</w:t>
            </w:r>
          </w:p>
        </w:tc>
        <w:tc>
          <w:tcPr>
            <w:tcW w:w="94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8"/>
                <w:szCs w:val="8"/>
                <w:b w:val="1"/>
                <w:bCs w:val="1"/>
                <w:color w:val="auto"/>
              </w:rPr>
              <w:t xml:space="preserve">Registered </w:t>
            </w:r>
            <w:r>
              <w:rPr>
                <w:rFonts w:ascii="Times New Roman" w:cs="Times New Roman" w:eastAsia="Times New Roman" w:hAnsi="Times New Roman"/>
                <w:sz w:val="10"/>
                <w:szCs w:val="10"/>
                <w:b w:val="1"/>
                <w:bCs w:val="1"/>
                <w:color w:val="auto"/>
                <w:vertAlign w:val="superscript"/>
              </w:rPr>
              <w:t>(1)</w:t>
            </w:r>
          </w:p>
        </w:tc>
        <w:tc>
          <w:tcPr>
            <w:tcW w:w="86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14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Offering</w:t>
            </w:r>
          </w:p>
        </w:tc>
        <w:tc>
          <w:tcPr>
            <w:tcW w:w="160" w:type="dxa"/>
            <w:vAlign w:val="bottom"/>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5"/>
              </w:rPr>
              <w:t>Fee</w:t>
            </w:r>
          </w:p>
        </w:tc>
        <w:tc>
          <w:tcPr>
            <w:tcW w:w="660" w:type="dxa"/>
            <w:vAlign w:val="bottom"/>
            <w:tcBorders>
              <w:right w:val="single" w:sz="8" w:color="auto"/>
            </w:tcBorders>
          </w:tcPr>
          <w:p>
            <w:pPr>
              <w:jc w:val="center"/>
              <w:ind w:right="12"/>
              <w:spacing w:after="0" w:line="95" w:lineRule="exact"/>
              <w:rPr>
                <w:sz w:val="20"/>
                <w:szCs w:val="20"/>
                <w:color w:val="auto"/>
              </w:rPr>
            </w:pPr>
            <w:r>
              <w:rPr>
                <w:rFonts w:ascii="Times New Roman" w:cs="Times New Roman" w:eastAsia="Times New Roman" w:hAnsi="Times New Roman"/>
                <w:sz w:val="10"/>
                <w:szCs w:val="10"/>
                <w:b w:val="1"/>
                <w:bCs w:val="1"/>
                <w:color w:val="auto"/>
              </w:rPr>
              <w:t>Form</w:t>
            </w:r>
          </w:p>
        </w:tc>
        <w:tc>
          <w:tcPr>
            <w:tcW w:w="660" w:type="dxa"/>
            <w:vAlign w:val="bottom"/>
            <w:tcBorders>
              <w:right w:val="single" w:sz="8" w:color="auto"/>
            </w:tcBorders>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File</w:t>
            </w:r>
          </w:p>
        </w:tc>
        <w:tc>
          <w:tcPr>
            <w:tcW w:w="78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780" w:type="dxa"/>
            <w:vAlign w:val="bottom"/>
            <w:tcBorders>
              <w:right w:val="single" w:sz="8" w:color="auto"/>
            </w:tcBorders>
            <w:vMerge w:val="restart"/>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56"/>
        </w:trPr>
        <w:tc>
          <w:tcPr>
            <w:tcW w:w="820" w:type="dxa"/>
            <w:vAlign w:val="bottom"/>
            <w:tcBorders>
              <w:left w:val="single" w:sz="8" w:color="auto"/>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tcBorders>
              <w:right w:val="single" w:sz="8" w:color="auto"/>
            </w:tcBorders>
            <w:vMerge w:val="continue"/>
          </w:tcPr>
          <w:p>
            <w:pPr>
              <w:spacing w:after="0"/>
              <w:rPr>
                <w:sz w:val="4"/>
                <w:szCs w:val="4"/>
                <w:color w:val="auto"/>
              </w:rPr>
            </w:pPr>
          </w:p>
        </w:tc>
        <w:tc>
          <w:tcPr>
            <w:tcW w:w="7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Rule</w:t>
            </w:r>
          </w:p>
        </w:tc>
        <w:tc>
          <w:tcPr>
            <w:tcW w:w="9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114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73"/>
        </w:trPr>
        <w:tc>
          <w:tcPr>
            <w:tcW w:w="820" w:type="dxa"/>
            <w:vAlign w:val="bottom"/>
            <w:tcBorders>
              <w:left w:val="single" w:sz="8" w:color="auto"/>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3"/>
          </w:tcPr>
          <w:p>
            <w:pPr>
              <w:jc w:val="center"/>
              <w:ind w:left="310"/>
              <w:spacing w:after="0" w:line="142" w:lineRule="exact"/>
              <w:rPr>
                <w:sz w:val="20"/>
                <w:szCs w:val="20"/>
                <w:color w:val="auto"/>
              </w:rPr>
            </w:pPr>
            <w:r>
              <w:rPr>
                <w:rFonts w:ascii="Times New Roman" w:cs="Times New Roman" w:eastAsia="Times New Roman" w:hAnsi="Times New Roman"/>
                <w:sz w:val="14"/>
                <w:szCs w:val="14"/>
                <w:b w:val="1"/>
                <w:bCs w:val="1"/>
                <w:color w:val="auto"/>
              </w:rPr>
              <w:t>Newly Registered Securities</w:t>
            </w:r>
          </w:p>
        </w:tc>
        <w:tc>
          <w:tcPr>
            <w:tcW w:w="9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0" w:type="dxa"/>
            <w:vAlign w:val="bottom"/>
            <w:tcBorders>
              <w:left w:val="single" w:sz="8" w:color="auto"/>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Common</w:t>
            </w:r>
          </w:p>
        </w:tc>
        <w:tc>
          <w:tcPr>
            <w:tcW w:w="9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Stock, $0.0001</w:t>
            </w: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Fees to Be</w:t>
            </w:r>
          </w:p>
        </w:tc>
        <w:tc>
          <w:tcPr>
            <w:tcW w:w="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Equity</w:t>
            </w:r>
          </w:p>
        </w:tc>
        <w:tc>
          <w:tcPr>
            <w:tcW w:w="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par value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Rule 457(c)</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7,952,334</w:t>
            </w:r>
          </w:p>
        </w:tc>
        <w:tc>
          <w:tcPr>
            <w:tcW w:w="8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2"/>
                <w:szCs w:val="12"/>
                <w:color w:val="auto"/>
              </w:rPr>
              <w:t>(2)</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$18,687,984.90</w:t>
            </w:r>
          </w:p>
        </w:tc>
        <w:tc>
          <w:tcPr>
            <w:tcW w:w="160" w:type="dxa"/>
            <w:vAlign w:val="bottom"/>
          </w:tcPr>
          <w:p>
            <w:pPr>
              <w:spacing w:after="0"/>
              <w:rPr>
                <w:sz w:val="14"/>
                <w:szCs w:val="14"/>
                <w:color w:val="auto"/>
              </w:rPr>
            </w:pPr>
          </w:p>
        </w:tc>
        <w:tc>
          <w:tcPr>
            <w:tcW w:w="940" w:type="dxa"/>
            <w:vAlign w:val="bottom"/>
            <w:tcBorders>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$92.70 per</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$1,732.38</w:t>
            </w:r>
          </w:p>
        </w:tc>
        <w:tc>
          <w:tcPr>
            <w:tcW w:w="6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0" w:type="dxa"/>
            <w:vAlign w:val="bottom"/>
            <w:tcBorders>
              <w:left w:val="single" w:sz="8" w:color="auto"/>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4"/>
                <w:szCs w:val="14"/>
                <w:color w:val="auto"/>
              </w:rPr>
              <w:t>Paid</w:t>
            </w:r>
          </w:p>
        </w:tc>
        <w:tc>
          <w:tcPr>
            <w:tcW w:w="8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share, held by</w:t>
            </w:r>
          </w:p>
        </w:tc>
        <w:tc>
          <w:tcPr>
            <w:tcW w:w="90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tcPr>
          <w:p>
            <w:pPr>
              <w:jc w:val="right"/>
              <w:ind w:right="290"/>
              <w:spacing w:after="0" w:line="12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2.35</w:t>
            </w:r>
          </w:p>
        </w:tc>
        <w:tc>
          <w:tcPr>
            <w:tcW w:w="114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right w:val="single" w:sz="8" w:color="auto"/>
            </w:tcBorders>
          </w:tcPr>
          <w:p>
            <w:pPr>
              <w:jc w:val="center"/>
              <w:ind w:right="128"/>
              <w:spacing w:after="0" w:line="126" w:lineRule="exact"/>
              <w:rPr>
                <w:sz w:val="20"/>
                <w:szCs w:val="20"/>
                <w:color w:val="auto"/>
              </w:rPr>
            </w:pPr>
            <w:r>
              <w:rPr>
                <w:rFonts w:ascii="Times New Roman" w:cs="Times New Roman" w:eastAsia="Times New Roman" w:hAnsi="Times New Roman"/>
                <w:sz w:val="14"/>
                <w:szCs w:val="14"/>
                <w:color w:val="auto"/>
              </w:rPr>
              <w:t>$1,000,000</w:t>
            </w:r>
          </w:p>
        </w:tc>
        <w:tc>
          <w:tcPr>
            <w:tcW w:w="90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selling</w:t>
            </w: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stockholders</w:t>
            </w:r>
          </w:p>
        </w:tc>
        <w:tc>
          <w:tcPr>
            <w:tcW w:w="9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tcBorders>
              <w:left w:val="single" w:sz="8" w:color="auto"/>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Common</w:t>
            </w:r>
          </w:p>
        </w:tc>
        <w:tc>
          <w:tcPr>
            <w:tcW w:w="90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Stock, $0.001</w:t>
            </w: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Fees</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par value per</w:t>
            </w: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auto"/>
              <w:right w:val="single" w:sz="8" w:color="auto"/>
            </w:tcBorders>
            <w:vMerge w:val="continue"/>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share,</w:t>
            </w:r>
          </w:p>
        </w:tc>
        <w:tc>
          <w:tcPr>
            <w:tcW w:w="90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860" w:type="dxa"/>
            <w:vAlign w:val="bottom"/>
            <w:tcBorders>
              <w:right w:val="single" w:sz="8" w:color="auto"/>
            </w:tcBorders>
            <w:vMerge w:val="restart"/>
          </w:tcPr>
          <w:p>
            <w:pPr>
              <w:jc w:val="center"/>
              <w:ind w:right="130"/>
              <w:spacing w:after="0" w:line="216" w:lineRule="exact"/>
              <w:rPr>
                <w:sz w:val="20"/>
                <w:szCs w:val="20"/>
                <w:color w:val="auto"/>
              </w:rPr>
            </w:pPr>
            <w:r>
              <w:rPr>
                <w:rFonts w:ascii="Times New Roman" w:cs="Times New Roman" w:eastAsia="Times New Roman" w:hAnsi="Times New Roman"/>
                <w:sz w:val="14"/>
                <w:szCs w:val="14"/>
                <w:color w:val="auto"/>
              </w:rPr>
              <w:t>$2.35</w:t>
            </w:r>
            <w:r>
              <w:rPr>
                <w:rFonts w:ascii="Times New Roman" w:cs="Times New Roman" w:eastAsia="Times New Roman" w:hAnsi="Times New Roman"/>
                <w:sz w:val="23"/>
                <w:szCs w:val="23"/>
                <w:color w:val="auto"/>
                <w:vertAlign w:val="superscript"/>
              </w:rPr>
              <w:t>(3)</w:t>
            </w:r>
          </w:p>
        </w:tc>
        <w:tc>
          <w:tcPr>
            <w:tcW w:w="114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Borders>
              <w:right w:val="single" w:sz="8" w:color="auto"/>
            </w:tcBorders>
            <w:vMerge w:val="restart"/>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$92.70 per</w:t>
            </w:r>
          </w:p>
        </w:tc>
        <w:tc>
          <w:tcPr>
            <w:tcW w:w="90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to Be</w:t>
            </w:r>
          </w:p>
        </w:tc>
        <w:tc>
          <w:tcPr>
            <w:tcW w:w="80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Rule 457(c)</w:t>
            </w:r>
          </w:p>
        </w:tc>
        <w:tc>
          <w:tcPr>
            <w:tcW w:w="9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7,856,766</w:t>
            </w:r>
          </w:p>
        </w:tc>
        <w:tc>
          <w:tcPr>
            <w:tcW w:w="860" w:type="dxa"/>
            <w:vAlign w:val="bottom"/>
            <w:tcBorders>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$18,463,400.10</w:t>
            </w:r>
          </w:p>
        </w:tc>
        <w:tc>
          <w:tcPr>
            <w:tcW w:w="160" w:type="dxa"/>
            <w:vAlign w:val="bottom"/>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$1,711.56</w:t>
            </w:r>
          </w:p>
        </w:tc>
        <w:tc>
          <w:tcPr>
            <w:tcW w:w="66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auto"/>
              <w:right w:val="single" w:sz="8" w:color="auto"/>
            </w:tcBorders>
            <w:vMerge w:val="continue"/>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underlying</w:t>
            </w:r>
          </w:p>
        </w:tc>
        <w:tc>
          <w:tcPr>
            <w:tcW w:w="900" w:type="dxa"/>
            <w:vAlign w:val="bottom"/>
            <w:tcBorders>
              <w:right w:val="single" w:sz="8" w:color="auto"/>
            </w:tcBorders>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Borders>
              <w:right w:val="single" w:sz="8" w:color="auto"/>
            </w:tcBorders>
            <w:vMerge w:val="restart"/>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90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Paid</w:t>
            </w:r>
          </w:p>
        </w:tc>
        <w:tc>
          <w:tcPr>
            <w:tcW w:w="8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20" w:type="dxa"/>
            <w:vAlign w:val="bottom"/>
            <w:tcBorders>
              <w:left w:val="single" w:sz="8" w:color="auto"/>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warrants held</w:t>
            </w:r>
          </w:p>
        </w:tc>
        <w:tc>
          <w:tcPr>
            <w:tcW w:w="90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820" w:type="dxa"/>
            <w:vAlign w:val="bottom"/>
            <w:tcBorders>
              <w:left w:val="single" w:sz="8" w:color="auto"/>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vMerge w:val="continue"/>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by selling</w:t>
            </w:r>
          </w:p>
        </w:tc>
        <w:tc>
          <w:tcPr>
            <w:tcW w:w="9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Borders>
              <w:left w:val="single" w:sz="8" w:color="auto"/>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stockholders</w:t>
            </w:r>
          </w:p>
        </w:tc>
        <w:tc>
          <w:tcPr>
            <w:tcW w:w="9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Fees</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6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8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Paid</w:t>
            </w:r>
          </w:p>
        </w:tc>
        <w:tc>
          <w:tcPr>
            <w:tcW w:w="8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3"/>
          </w:tcPr>
          <w:p>
            <w:pPr>
              <w:jc w:val="center"/>
              <w:ind w:left="290"/>
              <w:spacing w:after="0" w:line="142" w:lineRule="exact"/>
              <w:rPr>
                <w:sz w:val="20"/>
                <w:szCs w:val="20"/>
                <w:color w:val="auto"/>
              </w:rPr>
            </w:pPr>
            <w:r>
              <w:rPr>
                <w:rFonts w:ascii="Times New Roman" w:cs="Times New Roman" w:eastAsia="Times New Roman" w:hAnsi="Times New Roman"/>
                <w:sz w:val="14"/>
                <w:szCs w:val="14"/>
                <w:b w:val="1"/>
                <w:bCs w:val="1"/>
                <w:color w:val="auto"/>
              </w:rPr>
              <w:t>Carry Forward Securities</w:t>
            </w:r>
          </w:p>
        </w:tc>
        <w:tc>
          <w:tcPr>
            <w:tcW w:w="9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0" w:type="dxa"/>
            <w:vAlign w:val="bottom"/>
            <w:tcBorders>
              <w:left w:val="single" w:sz="8" w:color="auto"/>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Carry</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48"/>
        </w:trPr>
        <w:tc>
          <w:tcPr>
            <w:tcW w:w="82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8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8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jc w:val="center"/>
              <w:ind w:left="8"/>
              <w:spacing w:after="0" w:line="142" w:lineRule="exact"/>
              <w:rPr>
                <w:sz w:val="20"/>
                <w:szCs w:val="20"/>
                <w:color w:val="auto"/>
              </w:rPr>
            </w:pPr>
            <w:r>
              <w:rPr>
                <w:rFonts w:ascii="Times New Roman" w:cs="Times New Roman" w:eastAsia="Times New Roman" w:hAnsi="Times New Roman"/>
                <w:sz w:val="14"/>
                <w:szCs w:val="14"/>
                <w:b w:val="1"/>
                <w:bCs w:val="1"/>
                <w:color w:val="auto"/>
              </w:rPr>
              <w:t>Total Offering Amounts</w:t>
            </w:r>
          </w:p>
        </w:tc>
        <w:tc>
          <w:tcPr>
            <w:tcW w:w="9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$37,151,385</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$3,443.93</w:t>
            </w:r>
          </w:p>
        </w:tc>
        <w:tc>
          <w:tcPr>
            <w:tcW w:w="6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jc w:val="center"/>
              <w:ind w:left="28"/>
              <w:spacing w:after="0" w:line="142" w:lineRule="exact"/>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9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$7,583.27</w:t>
            </w:r>
          </w:p>
        </w:tc>
        <w:tc>
          <w:tcPr>
            <w:tcW w:w="6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jc w:val="center"/>
              <w:ind w:left="8"/>
              <w:spacing w:after="0" w:line="142" w:lineRule="exact"/>
              <w:rPr>
                <w:sz w:val="20"/>
                <w:szCs w:val="20"/>
                <w:color w:val="auto"/>
              </w:rPr>
            </w:pPr>
            <w:r>
              <w:rPr>
                <w:rFonts w:ascii="Times New Roman" w:cs="Times New Roman" w:eastAsia="Times New Roman" w:hAnsi="Times New Roman"/>
                <w:sz w:val="14"/>
                <w:szCs w:val="14"/>
                <w:b w:val="1"/>
                <w:bCs w:val="1"/>
                <w:color w:val="auto"/>
              </w:rPr>
              <w:t>Total Fee Offsets</w:t>
            </w:r>
          </w:p>
        </w:tc>
        <w:tc>
          <w:tcPr>
            <w:tcW w:w="9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$3,443.93</w:t>
            </w:r>
          </w:p>
        </w:tc>
        <w:tc>
          <w:tcPr>
            <w:tcW w:w="6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Borders>
              <w:left w:val="single" w:sz="8" w:color="auto"/>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jc w:val="center"/>
              <w:ind w:left="28"/>
              <w:spacing w:after="0" w:line="142" w:lineRule="exact"/>
              <w:rPr>
                <w:sz w:val="20"/>
                <w:szCs w:val="20"/>
                <w:color w:val="auto"/>
              </w:rPr>
            </w:pPr>
            <w:r>
              <w:rPr>
                <w:rFonts w:ascii="Times New Roman" w:cs="Times New Roman" w:eastAsia="Times New Roman" w:hAnsi="Times New Roman"/>
                <w:sz w:val="14"/>
                <w:szCs w:val="14"/>
                <w:b w:val="1"/>
                <w:bCs w:val="1"/>
                <w:color w:val="auto"/>
              </w:rPr>
              <w:t>Net Fee Due</w:t>
            </w:r>
          </w:p>
        </w:tc>
        <w:tc>
          <w:tcPr>
            <w:tcW w:w="940" w:type="dxa"/>
            <w:vAlign w:val="bottom"/>
            <w:tcBorders>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$0</w:t>
            </w:r>
          </w:p>
        </w:tc>
        <w:tc>
          <w:tcPr>
            <w:tcW w:w="6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hanging="372"/>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split, stock dividend, or similar transaction involving our common stock, the number of shares registered shall automatically be increased to cover the additional shares of common stock issuable pursuant to Rule 416 under the Securities Act of 1933, as amended (“Securities Act”).</w:t>
      </w:r>
    </w:p>
    <w:p>
      <w:pPr>
        <w:spacing w:after="0" w:line="202"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Rule 457(c) under the Securities Act. Shares of the registrant’s common stock are eligible for trading on the over-the-counter market. The maximum price per share is based on the average of the $2.49 (high) and $2.20 (low) sale price of the registrant’s common stock as reported on the over-the-counter market on May 20, 2022.</w:t>
      </w:r>
    </w:p>
    <w:p>
      <w:pPr>
        <w:spacing w:after="0" w:line="202"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Rule 457(c) under the Securities Act. The maximum price per share is based on the average of the $2.49 (high) and $2.20 (low) sale price of the registrant’s common stock as reported on the over-the-counter market on May 20, 2022.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endash "/>
      <w:numFmt w:val="bullet"/>
      <w:start w:val="1"/>
    </w:lvl>
  </w:abstractNum>
  <w:abstractNum w:abstractNumId="12">
    <w:nsid w:val="2443A858"/>
    <w:multiLevelType w:val="hybridMultilevel"/>
    <w:lvl w:ilvl="0">
      <w:lvlJc w:val="left"/>
      <w:lvlText w:val="(%1)"/>
      <w:numFmt w:val="lowerRoman"/>
      <w:start w:val="2"/>
    </w:lvl>
  </w:abstractNum>
  <w:abstractNum w:abstractNumId="13">
    <w:nsid w:val="2D1D5AE9"/>
    <w:multiLevelType w:val="hybridMultilevel"/>
    <w:lvl w:ilvl="0">
      <w:lvlJc w:val="left"/>
      <w:lvlText w:val="(%1)"/>
      <w:numFmt w:val="decimal"/>
      <w:start w:val="1"/>
    </w:lvl>
    <w:lvl w:ilvl="1">
      <w:lvlJc w:val="left"/>
      <w:lvlText w:val="(%2)"/>
      <w:numFmt w:val="decimal"/>
      <w:start w:val="3"/>
    </w:lvl>
    <w:lvl w:ilvl="2">
      <w:lvlJc w:val="left"/>
      <w:lvlText w:val="(%3)"/>
      <w:numFmt w:val="decimal"/>
      <w:start w:val="3"/>
    </w:lvl>
  </w:abstractNum>
  <w:abstractNum w:abstractNumId="14">
    <w:nsid w:val="6763845E"/>
    <w:multiLevelType w:val="hybridMultilevel"/>
    <w:lvl w:ilvl="0">
      <w:lvlJc w:val="left"/>
      <w:lvlText w:val="(%1)"/>
      <w:numFmt w:val="decimal"/>
      <w:start w:val="5"/>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lowerRoman"/>
      <w:start w:val="3"/>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740"/>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Roman"/>
      <w:start w:val="1"/>
    </w:lvl>
  </w:abstractNum>
  <w:abstractNum w:abstractNumId="28">
    <w:nsid w:val="1E7FF521"/>
    <w:multiLevelType w:val="hybridMultilevel"/>
    <w:lvl w:ilvl="0">
      <w:lvlJc w:val="left"/>
      <w:lvlText w:val="(%1)"/>
      <w:numFmt w:val="decimal"/>
      <w:start w:val="2"/>
    </w:lvl>
  </w:abstractNum>
  <w:abstractNum w:abstractNumId="29">
    <w:nsid w:val="7C3DBD3D"/>
    <w:multiLevelType w:val="hybridMultilevel"/>
    <w:lvl w:ilvl="0">
      <w:lvlJc w:val="left"/>
      <w:lvlText w:val="(%1)"/>
      <w:numFmt w:val="lowerLetter"/>
      <w:start w:val="2"/>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41"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21" Type="http://schemas.openxmlformats.org/officeDocument/2006/relationships/hyperlink" Target="http://www.sec.gov/Archives/edgar/data/1819663/000106594921000003/ex2_1.htm" TargetMode="External"/><Relationship Id="rId122" Type="http://schemas.openxmlformats.org/officeDocument/2006/relationships/hyperlink" Target="http://www.sec.gov/Archives/edgar/data/1819663/000168316821000511/vinings_ex0202.htm" TargetMode="External"/><Relationship Id="rId123" Type="http://schemas.openxmlformats.org/officeDocument/2006/relationships/hyperlink" Target="http://www.sec.gov/Archives/edgar/data/1819663/000168316821000511/vinings_ex0203.htm" TargetMode="External"/><Relationship Id="rId124" Type="http://schemas.openxmlformats.org/officeDocument/2006/relationships/hyperlink" Target="http://www.sec.gov/Archives/edgar/data/1819663/000168316822002806/coeptis_ex0201.htm" TargetMode="External"/><Relationship Id="rId125" Type="http://schemas.openxmlformats.org/officeDocument/2006/relationships/hyperlink" Target="http://www.sec.gov/Archives/edgar/data/1819663/000106594920000116/ex3_1.htm" TargetMode="External"/><Relationship Id="rId126" Type="http://schemas.openxmlformats.org/officeDocument/2006/relationships/hyperlink" Target="http://www.sec.gov/Archives/edgar/data/1819663/000168316821000511/vinings_ex0302.htm" TargetMode="External"/><Relationship Id="rId127" Type="http://schemas.openxmlformats.org/officeDocument/2006/relationships/hyperlink" Target="http://www.sec.gov/Archives/edgar/data/1819663/000168316821002935/coeptis_ex0301.htm" TargetMode="External"/><Relationship Id="rId128" Type="http://schemas.openxmlformats.org/officeDocument/2006/relationships/hyperlink" Target="http://www.sec.gov/Archives/edgar/data/1819663/000168316821002935/coeptis_ex0302.htm" TargetMode="External"/><Relationship Id="rId129" Type="http://schemas.openxmlformats.org/officeDocument/2006/relationships/hyperlink" Target="http://www.sec.gov/Archives/edgar/data/1819663/000168316821000511/vinings_ex0305.htm" TargetMode="External"/><Relationship Id="rId130" Type="http://schemas.openxmlformats.org/officeDocument/2006/relationships/hyperlink" Target="http://www.sec.gov/Archives/edgar/data/1819663/000106594920000116/ex4_1.htm" TargetMode="External"/><Relationship Id="rId131" Type="http://schemas.openxmlformats.org/officeDocument/2006/relationships/hyperlink" Target="http://www.sec.gov/Archives/edgar/data/1819663/000106594920000116/ex4_2.htm" TargetMode="External"/><Relationship Id="rId132" Type="http://schemas.openxmlformats.org/officeDocument/2006/relationships/hyperlink" Target="http://www.sec.gov/Archives/edgar/data/1819663/000106594920000168/ex4_2.htm" TargetMode="External"/><Relationship Id="rId133" Type="http://schemas.openxmlformats.org/officeDocument/2006/relationships/hyperlink" Target="http://www.sec.gov/Archives/edgar/data/1819663/000106594920000168/ex4_3.htm" TargetMode="External"/><Relationship Id="rId134" Type="http://schemas.openxmlformats.org/officeDocument/2006/relationships/hyperlink" Target="http://www.sec.gov/Archives/edgar/data/1819663/000168316821000511/vinings_ex1001.htm" TargetMode="External"/><Relationship Id="rId135" Type="http://schemas.openxmlformats.org/officeDocument/2006/relationships/hyperlink" Target="http://www.sec.gov/Archives/edgar/data/1819663/000106594920000182/ex10_1.htm" TargetMode="External"/><Relationship Id="rId136" Type="http://schemas.openxmlformats.org/officeDocument/2006/relationships/hyperlink" Target="http://www.sec.gov/Archives/edgar/data/1819663/000168316821001877/vinings_ex0401.htm" TargetMode="External"/><Relationship Id="rId137" Type="http://schemas.openxmlformats.org/officeDocument/2006/relationships/hyperlink" Target="http://www.sec.gov/Archives/edgar/data/1819663/000168316821001877/vinings_ex0402.htm" TargetMode="External"/><Relationship Id="rId138" Type="http://schemas.openxmlformats.org/officeDocument/2006/relationships/hyperlink" Target="http://www.sec.gov/Archives/edgar/data/1819663/000168316821003778/coeptis_ex0401.htm" TargetMode="External"/><Relationship Id="rId139" Type="http://schemas.openxmlformats.org/officeDocument/2006/relationships/hyperlink" Target="http://www.sec.gov/Archives/edgar/data/1819663/000168316821003778/coeptis_ex0402.htm" TargetMode="External"/><Relationship Id="rId140" Type="http://schemas.openxmlformats.org/officeDocument/2006/relationships/hyperlink" Target="http://www.sec.gov/Archives/edgar/data/1819663/000168316821006609/coeptis_ex0401.htm" TargetMode="External"/><Relationship Id="rId142" Type="http://schemas.openxmlformats.org/officeDocument/2006/relationships/hyperlink" Target="https://www.sec.gov/Archives/edgar/data/1819663/000168316822001274/coeptis_8k-ex0401.htm" TargetMode="External"/><Relationship Id="rId143" Type="http://schemas.openxmlformats.org/officeDocument/2006/relationships/hyperlink" Target="https://www.sec.gov/Archives/edgar/data/1819663/000168316822001274/coeptis_8k-ex0402.htm" TargetMode="External"/><Relationship Id="rId144" Type="http://schemas.openxmlformats.org/officeDocument/2006/relationships/hyperlink" Target="http://www.sec.gov/Archives/edgar/data/1819663/000168316821000511/vinings_ex2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2022-05-24T05:24:49Z</dcterms:created>
  <dcterms:modified xsi:type="dcterms:W3CDTF">2022-05-24T05:24:49Z</dcterms:modified>
</cp:coreProperties>
</file>